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16274" w14:textId="77777777" w:rsidR="005074B5" w:rsidRDefault="005074B5" w:rsidP="000633D3">
      <w:pPr>
        <w:ind w:left="0"/>
      </w:pPr>
      <w:bookmarkStart w:id="0" w:name="_GoBack"/>
      <w:bookmarkEnd w:id="0"/>
    </w:p>
    <w:p w14:paraId="6F0AED0E" w14:textId="77777777" w:rsidR="005074B5" w:rsidRPr="00ED7F73" w:rsidRDefault="00B646CF" w:rsidP="005074B5">
      <w:pPr>
        <w:ind w:left="0"/>
      </w:pPr>
      <w:r>
        <w:t>January 2021</w:t>
      </w:r>
    </w:p>
    <w:p w14:paraId="1135281A" w14:textId="77777777" w:rsidR="005074B5" w:rsidRPr="00DD743A" w:rsidRDefault="005074B5" w:rsidP="005074B5">
      <w:pPr>
        <w:ind w:left="0"/>
      </w:pPr>
    </w:p>
    <w:p w14:paraId="3F502438" w14:textId="77777777" w:rsidR="005074B5" w:rsidRPr="00DD743A" w:rsidRDefault="005074B5" w:rsidP="005074B5">
      <w:pPr>
        <w:ind w:left="0"/>
      </w:pPr>
    </w:p>
    <w:p w14:paraId="008A49B8" w14:textId="77777777" w:rsidR="00BD6799" w:rsidRDefault="00BD6799" w:rsidP="00242F76">
      <w:pPr>
        <w:pStyle w:val="Title"/>
        <w:rPr>
          <w:rFonts w:hint="eastAsia"/>
        </w:rPr>
      </w:pPr>
      <w:r>
        <w:t>Association of Blind Citizens of New Zealand</w:t>
      </w:r>
    </w:p>
    <w:p w14:paraId="543AD55C" w14:textId="77777777" w:rsidR="005074B5" w:rsidRPr="00242F76" w:rsidRDefault="005074B5" w:rsidP="00242F76">
      <w:pPr>
        <w:pStyle w:val="Title"/>
        <w:rPr>
          <w:rFonts w:hint="eastAsia"/>
        </w:rPr>
      </w:pPr>
      <w:r w:rsidRPr="00242F76">
        <w:t xml:space="preserve">Submission </w:t>
      </w:r>
      <w:r w:rsidR="00276335" w:rsidRPr="00242F76">
        <w:t xml:space="preserve">in response to </w:t>
      </w:r>
      <w:r w:rsidR="00B646CF">
        <w:t>Public Consultation on</w:t>
      </w:r>
    </w:p>
    <w:p w14:paraId="70180921" w14:textId="22614808" w:rsidR="005074B5" w:rsidRDefault="00B646CF" w:rsidP="00242F76">
      <w:pPr>
        <w:pStyle w:val="Title"/>
        <w:rPr>
          <w:rFonts w:hint="eastAsia"/>
        </w:rPr>
      </w:pPr>
      <w:r>
        <w:t>DZ 8134</w:t>
      </w:r>
      <w:r w:rsidR="00174038">
        <w:t>:</w:t>
      </w:r>
      <w:r>
        <w:t>Health and Disability Services Standard</w:t>
      </w:r>
    </w:p>
    <w:p w14:paraId="65233311" w14:textId="77777777" w:rsidR="005074B5" w:rsidRPr="007C1DD7" w:rsidRDefault="005074B5" w:rsidP="007C1DD7">
      <w:pPr>
        <w:pStyle w:val="Heading2"/>
      </w:pPr>
      <w:r w:rsidRPr="007C1DD7">
        <w:t>1.</w:t>
      </w:r>
      <w:r w:rsidRPr="007C1DD7">
        <w:tab/>
        <w:t>About the Association of Blind Citizens of New Zealand Inc</w:t>
      </w:r>
    </w:p>
    <w:p w14:paraId="126B0B97" w14:textId="77777777" w:rsidR="005074B5" w:rsidRDefault="005074B5" w:rsidP="005074B5">
      <w:r w:rsidRPr="00143D7D">
        <w:t xml:space="preserve">Founded in 1945, the Association of Blind Citizens of New Zealand Inc (Blind Citizens NZ) is </w:t>
      </w:r>
      <w:r>
        <w:t xml:space="preserve">a disabled people’s organisation (DPO), with branches and networks across the country. We are </w:t>
      </w:r>
      <w:r w:rsidRPr="00143D7D">
        <w:t xml:space="preserve">New Zealand's leading blindness consumer organisation and one of the country's largest organisations of disabled consumers. </w:t>
      </w:r>
      <w:r w:rsidRPr="00A751AB">
        <w:t xml:space="preserve">Our members are blind, </w:t>
      </w:r>
      <w:r w:rsidR="00F87314">
        <w:t xml:space="preserve">deafblind, low vision and </w:t>
      </w:r>
      <w:r w:rsidRPr="00A751AB">
        <w:t>vision</w:t>
      </w:r>
      <w:r w:rsidR="00F87314">
        <w:t>-</w:t>
      </w:r>
      <w:r w:rsidRPr="00A751AB">
        <w:t>impaired</w:t>
      </w:r>
      <w:r w:rsidR="00F87314">
        <w:t xml:space="preserve"> (hereafter referred to as blind)</w:t>
      </w:r>
      <w:r w:rsidRPr="00A751AB">
        <w:t>.</w:t>
      </w:r>
      <w:r>
        <w:t xml:space="preserve"> </w:t>
      </w:r>
    </w:p>
    <w:p w14:paraId="2FA84F5D" w14:textId="77777777" w:rsidR="005074B5" w:rsidRDefault="005074B5" w:rsidP="005074B5"/>
    <w:p w14:paraId="66F95C67" w14:textId="77777777" w:rsidR="005074B5" w:rsidRDefault="005074B5" w:rsidP="005074B5">
      <w:r w:rsidRPr="00143D7D">
        <w:t>Blind Citizens NZ exist</w:t>
      </w:r>
      <w:r>
        <w:t>s</w:t>
      </w:r>
      <w:r w:rsidRPr="00143D7D">
        <w:t xml:space="preserve"> to give voice to the aspirations and lived experiences of blind, deafblind</w:t>
      </w:r>
      <w:r w:rsidR="00E45E72">
        <w:t xml:space="preserve">, low vision </w:t>
      </w:r>
      <w:r w:rsidRPr="00143D7D">
        <w:t xml:space="preserve">and vision-impaired </w:t>
      </w:r>
      <w:r w:rsidR="00E45E72">
        <w:t xml:space="preserve">people living in </w:t>
      </w:r>
      <w:r w:rsidRPr="00143D7D">
        <w:t>New Zealand.</w:t>
      </w:r>
      <w:r>
        <w:t xml:space="preserve"> We aim to achieve this by </w:t>
      </w:r>
      <w:r w:rsidRPr="00143D7D">
        <w:t>heighten</w:t>
      </w:r>
      <w:r>
        <w:t>ing</w:t>
      </w:r>
      <w:r w:rsidRPr="00143D7D">
        <w:t xml:space="preserve"> awareness of </w:t>
      </w:r>
      <w:r w:rsidR="00051456">
        <w:t xml:space="preserve">our </w:t>
      </w:r>
      <w:r w:rsidRPr="00143D7D">
        <w:t xml:space="preserve">rights and to remove the barriers that </w:t>
      </w:r>
      <w:r>
        <w:t xml:space="preserve">negate </w:t>
      </w:r>
      <w:r w:rsidR="00051456">
        <w:t xml:space="preserve">our </w:t>
      </w:r>
      <w:r w:rsidRPr="00143D7D">
        <w:t>ability to live in an accessible, equitable and inclusive society.</w:t>
      </w:r>
      <w:r>
        <w:t xml:space="preserve"> </w:t>
      </w:r>
    </w:p>
    <w:p w14:paraId="075ACF69" w14:textId="77777777" w:rsidR="005074B5" w:rsidRPr="00C576BA" w:rsidRDefault="005074B5" w:rsidP="007C1DD7">
      <w:pPr>
        <w:pStyle w:val="Heading2"/>
      </w:pPr>
      <w:r>
        <w:t>2.</w:t>
      </w:r>
      <w:r>
        <w:tab/>
        <w:t>Submission Summary</w:t>
      </w:r>
    </w:p>
    <w:p w14:paraId="41D3A984" w14:textId="77777777" w:rsidR="005074B5" w:rsidRDefault="005074B5" w:rsidP="005074B5">
      <w:pPr>
        <w:ind w:hanging="720"/>
        <w:rPr>
          <w:rFonts w:cs="Arial"/>
          <w:lang w:eastAsia="en-GB"/>
        </w:rPr>
      </w:pPr>
      <w:r>
        <w:rPr>
          <w:b/>
        </w:rPr>
        <w:t>2.1</w:t>
      </w:r>
      <w:r>
        <w:rPr>
          <w:b/>
        </w:rPr>
        <w:tab/>
      </w:r>
      <w:r w:rsidRPr="006E5D8A">
        <w:rPr>
          <w:rFonts w:cs="Arial"/>
          <w:lang w:eastAsia="en-GB"/>
        </w:rPr>
        <w:t xml:space="preserve">In the context of </w:t>
      </w:r>
      <w:r>
        <w:rPr>
          <w:rFonts w:cs="Arial"/>
          <w:lang w:eastAsia="en-GB"/>
        </w:rPr>
        <w:t xml:space="preserve">our submission to </w:t>
      </w:r>
      <w:r w:rsidR="002306DA">
        <w:rPr>
          <w:rFonts w:cs="Arial"/>
          <w:lang w:eastAsia="en-GB"/>
        </w:rPr>
        <w:t>Standards New Zealand</w:t>
      </w:r>
      <w:r w:rsidR="00E45E72">
        <w:rPr>
          <w:rFonts w:cs="Arial"/>
          <w:lang w:eastAsia="en-GB"/>
        </w:rPr>
        <w:t xml:space="preserve">, </w:t>
      </w:r>
      <w:r w:rsidR="002306DA">
        <w:rPr>
          <w:rFonts w:cs="Arial"/>
          <w:lang w:eastAsia="en-GB"/>
        </w:rPr>
        <w:t xml:space="preserve">we advise that </w:t>
      </w:r>
      <w:r>
        <w:rPr>
          <w:rFonts w:cs="Arial"/>
          <w:lang w:eastAsia="en-GB"/>
        </w:rPr>
        <w:t xml:space="preserve">hereafter, </w:t>
      </w:r>
      <w:r w:rsidR="002306DA">
        <w:rPr>
          <w:rFonts w:cs="Arial"/>
          <w:lang w:eastAsia="en-GB"/>
        </w:rPr>
        <w:t xml:space="preserve">when using the </w:t>
      </w:r>
      <w:r w:rsidRPr="006E5D8A">
        <w:rPr>
          <w:rFonts w:cs="Arial"/>
          <w:lang w:eastAsia="en-GB"/>
        </w:rPr>
        <w:t>word “blind”</w:t>
      </w:r>
      <w:r w:rsidR="002306DA">
        <w:rPr>
          <w:rFonts w:cs="Arial"/>
          <w:lang w:eastAsia="en-GB"/>
        </w:rPr>
        <w:t>, that this</w:t>
      </w:r>
      <w:r w:rsidRPr="006E5D8A">
        <w:rPr>
          <w:rFonts w:cs="Arial"/>
          <w:lang w:eastAsia="en-GB"/>
        </w:rPr>
        <w:t xml:space="preserve"> encompasses all those who are blind, deafblind</w:t>
      </w:r>
      <w:r w:rsidR="00E45E72">
        <w:rPr>
          <w:rFonts w:cs="Arial"/>
          <w:lang w:eastAsia="en-GB"/>
        </w:rPr>
        <w:t>, low vision</w:t>
      </w:r>
      <w:r w:rsidRPr="006E5D8A">
        <w:rPr>
          <w:rFonts w:cs="Arial"/>
          <w:lang w:eastAsia="en-GB"/>
        </w:rPr>
        <w:t xml:space="preserve"> or vision-impaired</w:t>
      </w:r>
      <w:r>
        <w:rPr>
          <w:rFonts w:cs="Arial"/>
          <w:lang w:eastAsia="en-GB"/>
        </w:rPr>
        <w:t>.</w:t>
      </w:r>
    </w:p>
    <w:p w14:paraId="701AF388" w14:textId="77777777" w:rsidR="005074B5" w:rsidRDefault="005074B5" w:rsidP="00BD6799">
      <w:pPr>
        <w:ind w:left="0"/>
      </w:pPr>
    </w:p>
    <w:p w14:paraId="54FDACA7" w14:textId="77777777" w:rsidR="00BD6799" w:rsidRPr="00BD6799" w:rsidRDefault="00BD6799" w:rsidP="00BD6799">
      <w:pPr>
        <w:ind w:hanging="720"/>
        <w:rPr>
          <w:b/>
        </w:rPr>
      </w:pPr>
      <w:r>
        <w:rPr>
          <w:b/>
        </w:rPr>
        <w:t>2.2</w:t>
      </w:r>
      <w:r>
        <w:rPr>
          <w:b/>
        </w:rPr>
        <w:tab/>
      </w:r>
      <w:r w:rsidR="0034096D" w:rsidRPr="0034096D">
        <w:t>Co</w:t>
      </w:r>
      <w:r w:rsidR="0034096D">
        <w:t>m</w:t>
      </w:r>
      <w:r w:rsidR="0034096D" w:rsidRPr="0034096D">
        <w:t>ments offered</w:t>
      </w:r>
      <w:r w:rsidR="0034096D">
        <w:rPr>
          <w:b/>
        </w:rPr>
        <w:t xml:space="preserve"> </w:t>
      </w:r>
      <w:r w:rsidR="0034096D">
        <w:t xml:space="preserve">in response to the Draft </w:t>
      </w:r>
      <w:r w:rsidR="00450781">
        <w:t xml:space="preserve">Amended </w:t>
      </w:r>
      <w:r w:rsidR="0034096D">
        <w:t xml:space="preserve">Health and Disability Services Standard (Draft Standard) will primarily </w:t>
      </w:r>
      <w:r w:rsidR="00450781">
        <w:t xml:space="preserve">bring a </w:t>
      </w:r>
      <w:r w:rsidR="0034096D">
        <w:t>blindness lens</w:t>
      </w:r>
      <w:r w:rsidR="00450781">
        <w:t xml:space="preserve"> / perspective</w:t>
      </w:r>
      <w:r w:rsidR="0034096D">
        <w:t>.</w:t>
      </w:r>
      <w:r w:rsidR="00450781">
        <w:t xml:space="preserve"> We are not commenting on all sections / parts of the Draft Standard.</w:t>
      </w:r>
    </w:p>
    <w:p w14:paraId="22D57370" w14:textId="77777777" w:rsidR="00BD6799" w:rsidRDefault="00BD6799" w:rsidP="00BD6799">
      <w:pPr>
        <w:ind w:hanging="720"/>
        <w:rPr>
          <w:rFonts w:cs="Arial"/>
          <w:color w:val="282828"/>
          <w:szCs w:val="32"/>
          <w:lang w:eastAsia="en-NZ"/>
        </w:rPr>
      </w:pPr>
    </w:p>
    <w:p w14:paraId="71BA5152" w14:textId="77777777" w:rsidR="00242F76" w:rsidRDefault="005074B5" w:rsidP="005074B5">
      <w:pPr>
        <w:ind w:hanging="720"/>
        <w:rPr>
          <w:color w:val="000000"/>
        </w:rPr>
      </w:pPr>
      <w:r>
        <w:rPr>
          <w:b/>
        </w:rPr>
        <w:t>2.</w:t>
      </w:r>
      <w:r w:rsidR="00450781">
        <w:rPr>
          <w:b/>
        </w:rPr>
        <w:t>3</w:t>
      </w:r>
      <w:r>
        <w:rPr>
          <w:b/>
        </w:rPr>
        <w:tab/>
      </w:r>
      <w:r>
        <w:t xml:space="preserve">Blind Citizens NZ </w:t>
      </w:r>
      <w:r w:rsidR="00242F76">
        <w:t>confirm</w:t>
      </w:r>
      <w:r w:rsidR="0077435C">
        <w:t>s</w:t>
      </w:r>
      <w:r w:rsidR="00242F76">
        <w:t xml:space="preserve"> there is no confidential information in our submission</w:t>
      </w:r>
      <w:r w:rsidR="0077435C">
        <w:t>.</w:t>
      </w:r>
    </w:p>
    <w:p w14:paraId="13CEBB7D" w14:textId="77777777" w:rsidR="00242F76" w:rsidRDefault="00242F76" w:rsidP="005074B5">
      <w:pPr>
        <w:ind w:hanging="720"/>
        <w:rPr>
          <w:color w:val="000000"/>
        </w:rPr>
      </w:pPr>
    </w:p>
    <w:p w14:paraId="7CFB7842" w14:textId="77777777" w:rsidR="00242F76" w:rsidRPr="002B4F03" w:rsidRDefault="00242F76" w:rsidP="0077435C">
      <w:pPr>
        <w:spacing w:after="80"/>
        <w:ind w:hanging="720"/>
        <w:rPr>
          <w:color w:val="000000"/>
        </w:rPr>
      </w:pPr>
      <w:r>
        <w:rPr>
          <w:b/>
          <w:color w:val="000000"/>
        </w:rPr>
        <w:t>2.</w:t>
      </w:r>
      <w:r w:rsidR="00450781">
        <w:rPr>
          <w:b/>
          <w:color w:val="000000"/>
        </w:rPr>
        <w:t>4</w:t>
      </w:r>
      <w:r>
        <w:rPr>
          <w:b/>
          <w:color w:val="000000"/>
        </w:rPr>
        <w:tab/>
      </w:r>
      <w:r>
        <w:rPr>
          <w:color w:val="000000"/>
        </w:rPr>
        <w:t>Should there be a need to e</w:t>
      </w:r>
      <w:r w:rsidRPr="002B4F03">
        <w:rPr>
          <w:color w:val="000000"/>
        </w:rPr>
        <w:t xml:space="preserve">laborate on </w:t>
      </w:r>
      <w:r>
        <w:rPr>
          <w:color w:val="000000"/>
        </w:rPr>
        <w:t xml:space="preserve">any </w:t>
      </w:r>
      <w:r w:rsidRPr="002B4F03">
        <w:rPr>
          <w:color w:val="000000"/>
        </w:rPr>
        <w:t>feedback provided in our submission</w:t>
      </w:r>
      <w:r w:rsidR="0077435C">
        <w:rPr>
          <w:color w:val="000000"/>
        </w:rPr>
        <w:t xml:space="preserve">, or </w:t>
      </w:r>
      <w:r w:rsidR="004F7203">
        <w:rPr>
          <w:color w:val="000000"/>
        </w:rPr>
        <w:t xml:space="preserve">an opportunity </w:t>
      </w:r>
      <w:r w:rsidR="0077435C">
        <w:rPr>
          <w:color w:val="000000"/>
        </w:rPr>
        <w:t xml:space="preserve">to speak further to this, </w:t>
      </w:r>
      <w:r>
        <w:rPr>
          <w:color w:val="000000"/>
        </w:rPr>
        <w:t>please c</w:t>
      </w:r>
      <w:r w:rsidRPr="002B4F03">
        <w:rPr>
          <w:color w:val="000000"/>
        </w:rPr>
        <w:t xml:space="preserve">ontact the </w:t>
      </w:r>
      <w:r>
        <w:rPr>
          <w:color w:val="000000"/>
        </w:rPr>
        <w:t xml:space="preserve">Chief </w:t>
      </w:r>
      <w:r w:rsidRPr="002B4F03">
        <w:rPr>
          <w:color w:val="000000"/>
        </w:rPr>
        <w:t>Executive Rose Wilkinson</w:t>
      </w:r>
      <w:r>
        <w:rPr>
          <w:color w:val="000000"/>
        </w:rPr>
        <w:t xml:space="preserve"> via either </w:t>
      </w:r>
      <w:r w:rsidR="00450781">
        <w:rPr>
          <w:color w:val="000000"/>
        </w:rPr>
        <w:t xml:space="preserve">of these </w:t>
      </w:r>
      <w:r>
        <w:rPr>
          <w:color w:val="000000"/>
        </w:rPr>
        <w:t>options</w:t>
      </w:r>
      <w:r w:rsidRPr="002B4F03">
        <w:rPr>
          <w:color w:val="000000"/>
        </w:rPr>
        <w:t>:</w:t>
      </w:r>
    </w:p>
    <w:p w14:paraId="5641719D" w14:textId="77777777" w:rsidR="00242F76" w:rsidRPr="002B4F03" w:rsidRDefault="00242F76" w:rsidP="0077435C">
      <w:pPr>
        <w:spacing w:after="80"/>
        <w:rPr>
          <w:color w:val="000000"/>
        </w:rPr>
      </w:pPr>
      <w:r w:rsidRPr="002B4F03">
        <w:rPr>
          <w:b/>
          <w:color w:val="000000"/>
        </w:rPr>
        <w:t>Phone</w:t>
      </w:r>
      <w:r w:rsidRPr="002B4F03">
        <w:rPr>
          <w:color w:val="000000"/>
        </w:rPr>
        <w:t>: 021 222 6940</w:t>
      </w:r>
      <w:r w:rsidR="0077435C">
        <w:rPr>
          <w:color w:val="000000"/>
        </w:rPr>
        <w:t>;</w:t>
      </w:r>
    </w:p>
    <w:p w14:paraId="27B074C5" w14:textId="77777777" w:rsidR="00242F76" w:rsidRPr="002B4F03" w:rsidRDefault="00242F76" w:rsidP="00242F76">
      <w:pPr>
        <w:rPr>
          <w:color w:val="000000"/>
        </w:rPr>
      </w:pPr>
      <w:r w:rsidRPr="002B4F03">
        <w:rPr>
          <w:b/>
          <w:color w:val="000000"/>
        </w:rPr>
        <w:t>Email</w:t>
      </w:r>
      <w:r w:rsidRPr="002B4F03">
        <w:rPr>
          <w:color w:val="000000"/>
        </w:rPr>
        <w:t xml:space="preserve">: </w:t>
      </w:r>
      <w:hyperlink r:id="rId7" w:history="1">
        <w:r w:rsidRPr="002B4F03">
          <w:rPr>
            <w:rStyle w:val="Hyperlink"/>
            <w:color w:val="000000"/>
          </w:rPr>
          <w:t>rwilkinson@abcnz.org.nz</w:t>
        </w:r>
      </w:hyperlink>
    </w:p>
    <w:p w14:paraId="377C7026" w14:textId="77777777" w:rsidR="00450781" w:rsidRDefault="00450781">
      <w:pPr>
        <w:ind w:left="0"/>
        <w:rPr>
          <w:rFonts w:ascii="Arial Bold" w:eastAsia="Times New Roman" w:hAnsi="Arial Bold" w:cs="Arial"/>
          <w:b/>
          <w:color w:val="000000"/>
          <w:sz w:val="28"/>
          <w:szCs w:val="28"/>
          <w:lang w:eastAsia="en-NZ"/>
        </w:rPr>
      </w:pPr>
      <w:r>
        <w:br w:type="page"/>
      </w:r>
    </w:p>
    <w:p w14:paraId="3BE73FB1" w14:textId="77777777" w:rsidR="005074B5" w:rsidRPr="0032381F" w:rsidRDefault="005074B5" w:rsidP="007C1DD7">
      <w:pPr>
        <w:pStyle w:val="Heading2"/>
      </w:pPr>
      <w:r w:rsidRPr="0056048A">
        <w:lastRenderedPageBreak/>
        <w:t>3.</w:t>
      </w:r>
      <w:r w:rsidRPr="0056048A">
        <w:tab/>
        <w:t>Blind Citizens NZ’s Submission</w:t>
      </w:r>
    </w:p>
    <w:p w14:paraId="318333A1" w14:textId="77777777" w:rsidR="000B78F7" w:rsidRDefault="000D6912" w:rsidP="000B78F7">
      <w:pPr>
        <w:ind w:hanging="720"/>
        <w:rPr>
          <w:color w:val="000000"/>
        </w:rPr>
      </w:pPr>
      <w:r>
        <w:rPr>
          <w:b/>
        </w:rPr>
        <w:t>3.1</w:t>
      </w:r>
      <w:r>
        <w:rPr>
          <w:b/>
        </w:rPr>
        <w:tab/>
      </w:r>
      <w:r w:rsidR="005074B5">
        <w:t>New Zealand has championed international conventions</w:t>
      </w:r>
      <w:r w:rsidR="00242F76">
        <w:t xml:space="preserve"> and played </w:t>
      </w:r>
      <w:r w:rsidR="005074B5">
        <w:t>a lead role in the drafting, development and subsequent ratification of the United Nations Convention on the Rights of Persons with Disabilities (the Convention)</w:t>
      </w:r>
      <w:r w:rsidR="00242F76">
        <w:t>.</w:t>
      </w:r>
      <w:r w:rsidR="00BD6799">
        <w:t xml:space="preserve"> </w:t>
      </w:r>
      <w:r w:rsidR="00051456">
        <w:t xml:space="preserve">Blind Citizens NZ </w:t>
      </w:r>
      <w:r w:rsidR="00E17157">
        <w:t>(</w:t>
      </w:r>
      <w:r w:rsidR="00051456">
        <w:t>along with others</w:t>
      </w:r>
      <w:r w:rsidR="00E17157">
        <w:t>)</w:t>
      </w:r>
      <w:r w:rsidR="00051456">
        <w:t xml:space="preserve">, </w:t>
      </w:r>
      <w:r w:rsidR="00E17157">
        <w:t xml:space="preserve">was </w:t>
      </w:r>
      <w:r w:rsidR="00051456">
        <w:t xml:space="preserve">heavily involved in the development of </w:t>
      </w:r>
      <w:r w:rsidR="000B78F7">
        <w:rPr>
          <w:color w:val="000000"/>
        </w:rPr>
        <w:t>Government</w:t>
      </w:r>
      <w:r w:rsidR="00051456">
        <w:rPr>
          <w:color w:val="000000"/>
        </w:rPr>
        <w:t xml:space="preserve">’s </w:t>
      </w:r>
      <w:r w:rsidR="000B78F7">
        <w:rPr>
          <w:color w:val="000000"/>
        </w:rPr>
        <w:t xml:space="preserve">New Zealand Disability Strategy </w:t>
      </w:r>
      <w:r w:rsidR="00051456">
        <w:rPr>
          <w:color w:val="000000"/>
        </w:rPr>
        <w:t xml:space="preserve">2016 </w:t>
      </w:r>
      <w:r w:rsidR="000B78F7">
        <w:rPr>
          <w:color w:val="000000"/>
        </w:rPr>
        <w:t xml:space="preserve">to 2026, and </w:t>
      </w:r>
      <w:r w:rsidR="00C70AB9">
        <w:rPr>
          <w:color w:val="000000"/>
        </w:rPr>
        <w:t xml:space="preserve">its </w:t>
      </w:r>
      <w:r w:rsidR="000B78F7">
        <w:rPr>
          <w:color w:val="000000"/>
        </w:rPr>
        <w:t>Disability Action Plan 2019-2023</w:t>
      </w:r>
      <w:r w:rsidR="00E17157">
        <w:rPr>
          <w:color w:val="000000"/>
        </w:rPr>
        <w:t xml:space="preserve">. </w:t>
      </w:r>
      <w:r w:rsidR="00DA5D0D">
        <w:rPr>
          <w:color w:val="000000"/>
        </w:rPr>
        <w:t>Organisationally we play</w:t>
      </w:r>
      <w:r w:rsidR="0034096D">
        <w:rPr>
          <w:color w:val="000000"/>
        </w:rPr>
        <w:t>ed</w:t>
      </w:r>
      <w:r w:rsidR="00DA5D0D">
        <w:rPr>
          <w:color w:val="000000"/>
        </w:rPr>
        <w:t xml:space="preserve"> a lead role in the development and adoption of Government’s Accessibility Charter. </w:t>
      </w:r>
    </w:p>
    <w:p w14:paraId="11608886" w14:textId="77777777" w:rsidR="000B78F7" w:rsidRDefault="000B78F7" w:rsidP="000B78F7">
      <w:pPr>
        <w:ind w:left="0"/>
      </w:pPr>
    </w:p>
    <w:p w14:paraId="3F6238C6" w14:textId="77777777" w:rsidR="000B78F7" w:rsidRDefault="000B78F7" w:rsidP="000B78F7">
      <w:pPr>
        <w:ind w:hanging="720"/>
      </w:pPr>
      <w:r>
        <w:rPr>
          <w:b/>
        </w:rPr>
        <w:t>3.</w:t>
      </w:r>
      <w:r w:rsidR="00E17157">
        <w:rPr>
          <w:b/>
        </w:rPr>
        <w:t>2</w:t>
      </w:r>
      <w:r>
        <w:rPr>
          <w:b/>
        </w:rPr>
        <w:tab/>
      </w:r>
      <w:r>
        <w:t xml:space="preserve">Experiences shared by people from our community inform our submission. Where possible, we </w:t>
      </w:r>
      <w:r w:rsidRPr="00DC562C">
        <w:t xml:space="preserve">outline what needs to happen to enable </w:t>
      </w:r>
      <w:r>
        <w:t xml:space="preserve">blind people </w:t>
      </w:r>
      <w:r w:rsidRPr="00DC562C">
        <w:t xml:space="preserve">to experience the same rights </w:t>
      </w:r>
      <w:r>
        <w:t xml:space="preserve">as non-disabled people </w:t>
      </w:r>
      <w:r w:rsidRPr="00DC562C">
        <w:t>to privacy</w:t>
      </w:r>
      <w:r>
        <w:t>,</w:t>
      </w:r>
      <w:r w:rsidRPr="00DC562C">
        <w:t xml:space="preserve"> dignity</w:t>
      </w:r>
      <w:r>
        <w:t xml:space="preserve">, and confidentiality, </w:t>
      </w:r>
      <w:r w:rsidRPr="00DC562C">
        <w:t>and to participate fully in society as independent and equal citizens</w:t>
      </w:r>
      <w:r>
        <w:t>.</w:t>
      </w:r>
    </w:p>
    <w:p w14:paraId="3628D155" w14:textId="75DBD281" w:rsidR="000B78F7" w:rsidRPr="0032381F" w:rsidRDefault="000B78F7" w:rsidP="007C1DD7">
      <w:pPr>
        <w:pStyle w:val="Heading2"/>
      </w:pPr>
      <w:r w:rsidRPr="000B78F7">
        <w:t>4.</w:t>
      </w:r>
      <w:r w:rsidRPr="000B78F7">
        <w:tab/>
      </w:r>
      <w:r w:rsidR="0034096D">
        <w:t xml:space="preserve">Sundry – </w:t>
      </w:r>
      <w:r w:rsidR="0096126E">
        <w:t>Refer p</w:t>
      </w:r>
      <w:r w:rsidR="0034096D">
        <w:t xml:space="preserve">ages </w:t>
      </w:r>
      <w:r w:rsidR="001B199E">
        <w:t xml:space="preserve">1 to </w:t>
      </w:r>
      <w:r w:rsidR="0034096D">
        <w:t>1</w:t>
      </w:r>
      <w:r w:rsidR="005919AF">
        <w:t>9</w:t>
      </w:r>
      <w:r w:rsidR="0034096D">
        <w:t xml:space="preserve"> inclusive</w:t>
      </w:r>
    </w:p>
    <w:p w14:paraId="56F375B5" w14:textId="77777777" w:rsidR="0032381F" w:rsidRDefault="0032381F" w:rsidP="0032381F">
      <w:pPr>
        <w:ind w:hanging="720"/>
      </w:pPr>
      <w:r>
        <w:rPr>
          <w:b/>
        </w:rPr>
        <w:t>4.1</w:t>
      </w:r>
      <w:r>
        <w:rPr>
          <w:b/>
        </w:rPr>
        <w:tab/>
      </w:r>
      <w:r w:rsidR="0034096D">
        <w:rPr>
          <w:b/>
        </w:rPr>
        <w:t xml:space="preserve">Committee Representation (page 3): </w:t>
      </w:r>
      <w:r w:rsidR="00DE13D7" w:rsidRPr="00DE13D7">
        <w:t>It is pleasing to</w:t>
      </w:r>
      <w:r w:rsidR="00DE13D7">
        <w:rPr>
          <w:b/>
        </w:rPr>
        <w:t xml:space="preserve"> </w:t>
      </w:r>
      <w:r w:rsidR="00DE13D7">
        <w:t xml:space="preserve">see the extent to there is recognition of individuals and their nominating organisations. We ask for a small correction to the reference of the nominating organisation linked to Martine Abel-Williamson’s name please. The </w:t>
      </w:r>
      <w:r w:rsidR="0034096D">
        <w:t>word “</w:t>
      </w:r>
      <w:r w:rsidR="0034096D" w:rsidRPr="0034096D">
        <w:rPr>
          <w:b/>
        </w:rPr>
        <w:t>of</w:t>
      </w:r>
      <w:r w:rsidR="0034096D">
        <w:t xml:space="preserve">” should be included as follows: </w:t>
      </w:r>
      <w:r w:rsidR="00DE13D7">
        <w:t>Association of Blind Citizens</w:t>
      </w:r>
      <w:r w:rsidR="00DE13D7" w:rsidRPr="004F7203">
        <w:t xml:space="preserve"> of</w:t>
      </w:r>
      <w:r w:rsidR="00DE13D7">
        <w:t xml:space="preserve"> New Zealand </w:t>
      </w:r>
    </w:p>
    <w:p w14:paraId="54F773B3" w14:textId="77777777" w:rsidR="00EC61C3" w:rsidRDefault="00EC61C3" w:rsidP="0032381F">
      <w:pPr>
        <w:ind w:hanging="720"/>
      </w:pPr>
    </w:p>
    <w:p w14:paraId="341E76CA" w14:textId="21F64F26" w:rsidR="00E17157" w:rsidRDefault="00EC61C3" w:rsidP="0032381F">
      <w:pPr>
        <w:ind w:hanging="720"/>
      </w:pPr>
      <w:r>
        <w:rPr>
          <w:b/>
        </w:rPr>
        <w:t>4.2</w:t>
      </w:r>
      <w:r>
        <w:rPr>
          <w:b/>
        </w:rPr>
        <w:tab/>
      </w:r>
      <w:r w:rsidR="0034096D" w:rsidRPr="0034096D">
        <w:rPr>
          <w:b/>
        </w:rPr>
        <w:t>Review of Standards (page 4)</w:t>
      </w:r>
      <w:r w:rsidR="0034096D">
        <w:t xml:space="preserve">: </w:t>
      </w:r>
      <w:r w:rsidR="002B1822">
        <w:t xml:space="preserve">The need for this Standard to remain “dynamic, reflecting current accepted best practice” is paramount. </w:t>
      </w:r>
      <w:r w:rsidR="005E41C4">
        <w:t xml:space="preserve">While the ensuing statement recognises that “regular reviews” will happen, there does not appear to be any timeline for such reviews to occur. </w:t>
      </w:r>
      <w:r w:rsidR="006E50A1">
        <w:t xml:space="preserve">Mindful </w:t>
      </w:r>
      <w:r w:rsidR="005E41C4">
        <w:t>this Draft Standard replaces three individual Standards</w:t>
      </w:r>
      <w:r w:rsidR="00174038">
        <w:t>,</w:t>
      </w:r>
      <w:r w:rsidR="005E41C4">
        <w:t xml:space="preserve"> Blind Citizens NZ urges Standards New Zealand and the M</w:t>
      </w:r>
      <w:r w:rsidR="006E50A1">
        <w:t xml:space="preserve">inistry of Health to include a </w:t>
      </w:r>
      <w:r w:rsidR="005E41C4">
        <w:t>minimum timeline b</w:t>
      </w:r>
      <w:r w:rsidR="006E50A1">
        <w:t xml:space="preserve">y which a review might occur. </w:t>
      </w:r>
    </w:p>
    <w:p w14:paraId="0FBFF848" w14:textId="77777777" w:rsidR="00E17157" w:rsidRDefault="00E17157" w:rsidP="0032381F">
      <w:pPr>
        <w:ind w:hanging="720"/>
      </w:pPr>
    </w:p>
    <w:p w14:paraId="52A48DEA" w14:textId="3F511686" w:rsidR="006E50A1" w:rsidRDefault="005E41C4" w:rsidP="0032381F">
      <w:pPr>
        <w:ind w:hanging="720"/>
      </w:pPr>
      <w:r>
        <w:rPr>
          <w:b/>
        </w:rPr>
        <w:t>4.3</w:t>
      </w:r>
      <w:r>
        <w:rPr>
          <w:b/>
        </w:rPr>
        <w:tab/>
        <w:t xml:space="preserve">Principles: </w:t>
      </w:r>
      <w:r w:rsidR="00A763CC">
        <w:t xml:space="preserve">Blind Citizens NZ </w:t>
      </w:r>
      <w:r>
        <w:t xml:space="preserve">supports the five key principles. These draw upon </w:t>
      </w:r>
      <w:r w:rsidR="006E50A1">
        <w:t xml:space="preserve">a range of tools including Te Tiriti </w:t>
      </w:r>
      <w:r w:rsidR="00174038">
        <w:t xml:space="preserve">o Waitangi </w:t>
      </w:r>
      <w:r w:rsidR="006E50A1">
        <w:t xml:space="preserve">and </w:t>
      </w:r>
      <w:r>
        <w:t>Enabling Good Lives</w:t>
      </w:r>
      <w:r w:rsidR="006E50A1">
        <w:t>,</w:t>
      </w:r>
      <w:r>
        <w:t xml:space="preserve"> thus </w:t>
      </w:r>
      <w:r w:rsidR="006E50A1">
        <w:t xml:space="preserve">recognising the need for choice and control, </w:t>
      </w:r>
      <w:r>
        <w:t>consistency</w:t>
      </w:r>
      <w:r w:rsidR="006E50A1">
        <w:t xml:space="preserve"> of service delivery, and expectations for those needing them.</w:t>
      </w:r>
    </w:p>
    <w:p w14:paraId="0DE526D9" w14:textId="77777777" w:rsidR="006E50A1" w:rsidRDefault="006E50A1" w:rsidP="0032381F">
      <w:pPr>
        <w:ind w:hanging="720"/>
      </w:pPr>
    </w:p>
    <w:p w14:paraId="2B100855" w14:textId="1CD00C6E" w:rsidR="005919AF" w:rsidRDefault="00A763CC" w:rsidP="00ED5B0F">
      <w:pPr>
        <w:spacing w:after="80"/>
        <w:ind w:hanging="720"/>
        <w:rPr>
          <w:rFonts w:cs="Calibri"/>
        </w:rPr>
      </w:pPr>
      <w:r>
        <w:rPr>
          <w:b/>
        </w:rPr>
        <w:t>4.4</w:t>
      </w:r>
      <w:r>
        <w:rPr>
          <w:b/>
        </w:rPr>
        <w:tab/>
      </w:r>
      <w:r w:rsidR="005919AF">
        <w:rPr>
          <w:b/>
        </w:rPr>
        <w:t>Te Tiriti o Waitangi:</w:t>
      </w:r>
      <w:r w:rsidR="005919AF">
        <w:t xml:space="preserve"> It is fitting that this Draft Standard recognises the need for, and importance </w:t>
      </w:r>
      <w:r w:rsidR="005919AF" w:rsidRPr="005919AF">
        <w:t xml:space="preserve">of </w:t>
      </w:r>
      <w:r w:rsidR="005919AF">
        <w:t xml:space="preserve">achieving equitable health care and outcomes for </w:t>
      </w:r>
      <w:r w:rsidR="005919AF" w:rsidRPr="005919AF">
        <w:rPr>
          <w:rFonts w:cs="Calibri"/>
        </w:rPr>
        <w:t>Māori</w:t>
      </w:r>
      <w:r w:rsidR="005919AF">
        <w:rPr>
          <w:rFonts w:cs="Calibri"/>
        </w:rPr>
        <w:t xml:space="preserve">. Blind Citizens NZ congratulates Standards New Zealand and the Ministry of Health for the hierarchical approach it has taken towards ensuring Te Tiriti o Waitangi sits at the top of the domestic and international </w:t>
      </w:r>
      <w:r w:rsidR="00450781">
        <w:rPr>
          <w:rFonts w:cs="Calibri"/>
        </w:rPr>
        <w:t xml:space="preserve">treaties </w:t>
      </w:r>
      <w:r w:rsidR="005919AF">
        <w:rPr>
          <w:rFonts w:cs="Calibri"/>
        </w:rPr>
        <w:t xml:space="preserve">this country must honour. </w:t>
      </w:r>
    </w:p>
    <w:p w14:paraId="211C72E2" w14:textId="77777777" w:rsidR="005919AF" w:rsidRDefault="005919AF" w:rsidP="00ED5B0F">
      <w:pPr>
        <w:spacing w:after="80"/>
        <w:ind w:hanging="720"/>
      </w:pPr>
    </w:p>
    <w:p w14:paraId="5B6FFEF3" w14:textId="77777777" w:rsidR="00450781" w:rsidRDefault="005919AF" w:rsidP="00ED5B0F">
      <w:pPr>
        <w:spacing w:after="80"/>
        <w:ind w:hanging="720"/>
      </w:pPr>
      <w:r>
        <w:rPr>
          <w:b/>
        </w:rPr>
        <w:t>4.5</w:t>
      </w:r>
      <w:r>
        <w:rPr>
          <w:b/>
        </w:rPr>
        <w:tab/>
        <w:t xml:space="preserve">United Nations Treaties: </w:t>
      </w:r>
      <w:r w:rsidR="00450781">
        <w:t xml:space="preserve">Blind Citizens NZ applauds the </w:t>
      </w:r>
      <w:r w:rsidR="001B199E">
        <w:t xml:space="preserve">extent in which this </w:t>
      </w:r>
      <w:r w:rsidR="00450781">
        <w:t xml:space="preserve">Draft Standard recognises international conventions / treaties, </w:t>
      </w:r>
      <w:r w:rsidR="001B199E">
        <w:t xml:space="preserve">linking </w:t>
      </w:r>
      <w:r w:rsidR="00450781">
        <w:t>them back to domestic legislation.</w:t>
      </w:r>
    </w:p>
    <w:p w14:paraId="7294889D" w14:textId="77777777" w:rsidR="001B199E" w:rsidRDefault="001B199E">
      <w:pPr>
        <w:ind w:left="0"/>
        <w:rPr>
          <w:rFonts w:ascii="Arial Bold" w:eastAsia="Times New Roman" w:hAnsi="Arial Bold" w:cs="Arial"/>
          <w:b/>
          <w:color w:val="000000"/>
          <w:sz w:val="28"/>
          <w:szCs w:val="28"/>
          <w:lang w:eastAsia="en-NZ"/>
        </w:rPr>
      </w:pPr>
      <w:r>
        <w:br w:type="page"/>
      </w:r>
    </w:p>
    <w:p w14:paraId="4749F528" w14:textId="0B681609" w:rsidR="001B199E" w:rsidRDefault="00EC61C3" w:rsidP="007C1DD7">
      <w:pPr>
        <w:pStyle w:val="Heading2"/>
      </w:pPr>
      <w:r>
        <w:lastRenderedPageBreak/>
        <w:t>5.</w:t>
      </w:r>
      <w:r>
        <w:tab/>
      </w:r>
      <w:r w:rsidR="001B199E">
        <w:t>Definitions (</w:t>
      </w:r>
      <w:r w:rsidR="0096126E">
        <w:t>Refer p</w:t>
      </w:r>
      <w:r w:rsidR="001B199E">
        <w:t>ages 31 to 43 inclusive)</w:t>
      </w:r>
    </w:p>
    <w:p w14:paraId="7B4EDEC3" w14:textId="6AAC939B" w:rsidR="001B199E" w:rsidRDefault="005935C6" w:rsidP="005935C6">
      <w:pPr>
        <w:ind w:hanging="720"/>
      </w:pPr>
      <w:r>
        <w:rPr>
          <w:b/>
        </w:rPr>
        <w:t>5.1</w:t>
      </w:r>
      <w:r>
        <w:rPr>
          <w:b/>
        </w:rPr>
        <w:tab/>
      </w:r>
      <w:r w:rsidR="001B199E">
        <w:t xml:space="preserve">We believe the definitions provided for this Draft Standard are extremely comprehensive. However, in our view, there </w:t>
      </w:r>
      <w:r w:rsidR="004F7203">
        <w:t xml:space="preserve">are </w:t>
      </w:r>
      <w:r w:rsidR="001B199E">
        <w:t>instances where a definition is light on detail.</w:t>
      </w:r>
    </w:p>
    <w:p w14:paraId="1BC4D9E0" w14:textId="77777777" w:rsidR="001B199E" w:rsidRDefault="001B199E" w:rsidP="005935C6">
      <w:pPr>
        <w:ind w:hanging="720"/>
      </w:pPr>
    </w:p>
    <w:p w14:paraId="69E723BD" w14:textId="77777777" w:rsidR="00E262C1" w:rsidRDefault="001B199E" w:rsidP="005935C6">
      <w:pPr>
        <w:ind w:hanging="720"/>
      </w:pPr>
      <w:r>
        <w:rPr>
          <w:b/>
        </w:rPr>
        <w:t>5.2</w:t>
      </w:r>
      <w:r>
        <w:rPr>
          <w:b/>
        </w:rPr>
        <w:tab/>
      </w:r>
      <w:r>
        <w:t xml:space="preserve">Although the Draft Standard refers to the Accessibility Charter, which addresses access to information, services etc., </w:t>
      </w:r>
      <w:r w:rsidR="00580E0C">
        <w:t xml:space="preserve">when considering references to accessible and/or alternate formats, Easy Read etc., </w:t>
      </w:r>
      <w:r w:rsidR="00E262C1">
        <w:t>the need for further information to better describe the purpose and what this means, is in our view, needed.</w:t>
      </w:r>
    </w:p>
    <w:p w14:paraId="635300CB" w14:textId="77777777" w:rsidR="00B13C98" w:rsidRDefault="00B13C98" w:rsidP="005935C6">
      <w:pPr>
        <w:ind w:hanging="720"/>
        <w:rPr>
          <w:lang w:eastAsia="en-GB"/>
        </w:rPr>
      </w:pPr>
    </w:p>
    <w:p w14:paraId="0252649C" w14:textId="6D1AC82B" w:rsidR="00E262C1" w:rsidRDefault="00B13C98" w:rsidP="005935C6">
      <w:pPr>
        <w:ind w:hanging="720"/>
        <w:rPr>
          <w:rFonts w:eastAsia="Times New Roman" w:cs="Calibri"/>
          <w:color w:val="000000"/>
          <w:lang w:eastAsia="en-NZ"/>
        </w:rPr>
      </w:pPr>
      <w:r>
        <w:rPr>
          <w:b/>
          <w:lang w:eastAsia="en-GB"/>
        </w:rPr>
        <w:t>5.3</w:t>
      </w:r>
      <w:r>
        <w:rPr>
          <w:b/>
          <w:lang w:eastAsia="en-GB"/>
        </w:rPr>
        <w:tab/>
      </w:r>
      <w:r w:rsidR="001B199E">
        <w:rPr>
          <w:lang w:eastAsia="en-GB"/>
        </w:rPr>
        <w:t xml:space="preserve">There is reference </w:t>
      </w:r>
      <w:r w:rsidR="004F7203">
        <w:rPr>
          <w:lang w:eastAsia="en-GB"/>
        </w:rPr>
        <w:t xml:space="preserve">on age 31 </w:t>
      </w:r>
      <w:r w:rsidR="001B199E">
        <w:rPr>
          <w:lang w:eastAsia="en-GB"/>
        </w:rPr>
        <w:t>to “Accessible / Alternate Format</w:t>
      </w:r>
      <w:r w:rsidR="004F7203">
        <w:rPr>
          <w:lang w:eastAsia="en-GB"/>
        </w:rPr>
        <w:t>s</w:t>
      </w:r>
      <w:r w:rsidR="001B199E">
        <w:rPr>
          <w:lang w:eastAsia="en-GB"/>
        </w:rPr>
        <w:t xml:space="preserve">”. </w:t>
      </w:r>
      <w:r w:rsidR="0096126E">
        <w:rPr>
          <w:lang w:eastAsia="en-GB"/>
        </w:rPr>
        <w:t xml:space="preserve">The </w:t>
      </w:r>
      <w:r w:rsidR="001B199E">
        <w:rPr>
          <w:lang w:eastAsia="en-GB"/>
        </w:rPr>
        <w:t xml:space="preserve">definition states </w:t>
      </w:r>
      <w:r w:rsidR="0096126E">
        <w:rPr>
          <w:lang w:eastAsia="en-GB"/>
        </w:rPr>
        <w:t xml:space="preserve">the following with respect to </w:t>
      </w:r>
      <w:r w:rsidR="001B199E">
        <w:rPr>
          <w:lang w:eastAsia="en-GB"/>
        </w:rPr>
        <w:t>accessible / alternate formats</w:t>
      </w:r>
      <w:r w:rsidR="00E262C1">
        <w:rPr>
          <w:lang w:eastAsia="en-GB"/>
        </w:rPr>
        <w:t xml:space="preserve"> &lt;begins&gt; </w:t>
      </w:r>
      <w:r w:rsidR="001B199E" w:rsidRPr="00737F76">
        <w:rPr>
          <w:rFonts w:eastAsia="Times New Roman" w:cs="Calibri"/>
          <w:color w:val="000000"/>
          <w:lang w:eastAsia="en-NZ"/>
        </w:rPr>
        <w:t>Describes ways of presenting printed, written, or visual material so that people who do not read print can access it. People who do not read print may be blind, be visually impaired, or have a learning disability that affects reading</w:t>
      </w:r>
      <w:r w:rsidR="00E262C1">
        <w:rPr>
          <w:rFonts w:eastAsia="Times New Roman" w:cs="Calibri"/>
          <w:color w:val="000000"/>
          <w:lang w:eastAsia="en-NZ"/>
        </w:rPr>
        <w:t xml:space="preserve"> &lt;ends&gt;. In our view, accessible / alternate formats </w:t>
      </w:r>
      <w:r w:rsidR="001120BC">
        <w:rPr>
          <w:rFonts w:eastAsia="Times New Roman" w:cs="Calibri"/>
          <w:color w:val="000000"/>
          <w:lang w:eastAsia="en-NZ"/>
        </w:rPr>
        <w:t>are</w:t>
      </w:r>
      <w:r w:rsidR="00E262C1">
        <w:rPr>
          <w:rFonts w:eastAsia="Times New Roman" w:cs="Calibri"/>
          <w:color w:val="000000"/>
          <w:lang w:eastAsia="en-NZ"/>
        </w:rPr>
        <w:t xml:space="preserve"> far more than about the presentation of printed and/or visual information.</w:t>
      </w:r>
    </w:p>
    <w:p w14:paraId="2DEA67A0" w14:textId="77777777" w:rsidR="00737F76" w:rsidRDefault="00737F76" w:rsidP="005935C6">
      <w:pPr>
        <w:ind w:hanging="720"/>
        <w:rPr>
          <w:lang w:eastAsia="en-GB"/>
        </w:rPr>
      </w:pPr>
    </w:p>
    <w:p w14:paraId="14962C63" w14:textId="645A6A06" w:rsidR="00737F76" w:rsidRDefault="00737F76" w:rsidP="005935C6">
      <w:pPr>
        <w:ind w:hanging="720"/>
        <w:rPr>
          <w:lang w:eastAsia="en-GB"/>
        </w:rPr>
      </w:pPr>
      <w:r>
        <w:rPr>
          <w:b/>
          <w:lang w:eastAsia="en-GB"/>
        </w:rPr>
        <w:t>5.4</w:t>
      </w:r>
      <w:r>
        <w:rPr>
          <w:b/>
          <w:lang w:eastAsia="en-GB"/>
        </w:rPr>
        <w:tab/>
      </w:r>
      <w:r>
        <w:rPr>
          <w:lang w:eastAsia="en-GB"/>
        </w:rPr>
        <w:t xml:space="preserve">Blind Citizens NZ urges an amendment to the definition to emphasise people’s rights to have information that meets their informational needs. The need for information in an accessible / alternate format is greater than </w:t>
      </w:r>
      <w:r w:rsidR="0096126E">
        <w:rPr>
          <w:lang w:eastAsia="en-GB"/>
        </w:rPr>
        <w:t xml:space="preserve">for people who are </w:t>
      </w:r>
      <w:r>
        <w:rPr>
          <w:lang w:eastAsia="en-GB"/>
        </w:rPr>
        <w:t xml:space="preserve">blind, vision (not visually) impaired, or </w:t>
      </w:r>
      <w:r w:rsidR="00E43762">
        <w:rPr>
          <w:lang w:eastAsia="en-GB"/>
        </w:rPr>
        <w:t xml:space="preserve">those who </w:t>
      </w:r>
      <w:r>
        <w:rPr>
          <w:lang w:eastAsia="en-GB"/>
        </w:rPr>
        <w:t xml:space="preserve">have a learning disability. In our view, it is paramount that the definition is </w:t>
      </w:r>
      <w:r w:rsidR="00580E0C">
        <w:rPr>
          <w:lang w:eastAsia="en-GB"/>
        </w:rPr>
        <w:t xml:space="preserve">sufficiently broad to </w:t>
      </w:r>
      <w:r>
        <w:rPr>
          <w:lang w:eastAsia="en-GB"/>
        </w:rPr>
        <w:t xml:space="preserve">represent </w:t>
      </w:r>
      <w:r w:rsidR="00580E0C">
        <w:rPr>
          <w:lang w:eastAsia="en-GB"/>
        </w:rPr>
        <w:t xml:space="preserve">the diversity of </w:t>
      </w:r>
      <w:r>
        <w:rPr>
          <w:lang w:eastAsia="en-GB"/>
        </w:rPr>
        <w:t xml:space="preserve">people’s informational needs. </w:t>
      </w:r>
    </w:p>
    <w:p w14:paraId="6031927A" w14:textId="77777777" w:rsidR="00737F76" w:rsidRDefault="00737F76" w:rsidP="005935C6">
      <w:pPr>
        <w:ind w:hanging="720"/>
        <w:rPr>
          <w:lang w:eastAsia="en-GB"/>
        </w:rPr>
      </w:pPr>
    </w:p>
    <w:p w14:paraId="68CD3B38" w14:textId="2978EBC4" w:rsidR="004F7203" w:rsidRDefault="00737F76" w:rsidP="00E262C1">
      <w:pPr>
        <w:spacing w:after="80"/>
        <w:ind w:hanging="720"/>
        <w:rPr>
          <w:lang w:eastAsia="en-GB"/>
        </w:rPr>
      </w:pPr>
      <w:r>
        <w:rPr>
          <w:b/>
          <w:lang w:eastAsia="en-GB"/>
        </w:rPr>
        <w:t>5.5</w:t>
      </w:r>
      <w:r>
        <w:rPr>
          <w:b/>
          <w:lang w:eastAsia="en-GB"/>
        </w:rPr>
        <w:tab/>
      </w:r>
      <w:r w:rsidR="00E262C1" w:rsidRPr="00E262C1">
        <w:rPr>
          <w:lang w:eastAsia="en-GB"/>
        </w:rPr>
        <w:t xml:space="preserve">Accessible / Alternate Formats </w:t>
      </w:r>
      <w:r w:rsidR="00E262C1">
        <w:rPr>
          <w:lang w:eastAsia="en-GB"/>
        </w:rPr>
        <w:t xml:space="preserve">involves </w:t>
      </w:r>
      <w:r w:rsidR="004F7203">
        <w:rPr>
          <w:lang w:eastAsia="en-GB"/>
        </w:rPr>
        <w:t xml:space="preserve">the need for written </w:t>
      </w:r>
      <w:r w:rsidR="00E262C1">
        <w:rPr>
          <w:lang w:eastAsia="en-GB"/>
        </w:rPr>
        <w:t xml:space="preserve">and/or visual information for people with a print disability. </w:t>
      </w:r>
      <w:r w:rsidR="004F7203">
        <w:rPr>
          <w:lang w:eastAsia="en-GB"/>
        </w:rPr>
        <w:t xml:space="preserve">Alternate formats </w:t>
      </w:r>
      <w:r w:rsidR="001120BC">
        <w:rPr>
          <w:lang w:eastAsia="en-GB"/>
        </w:rPr>
        <w:t>include</w:t>
      </w:r>
      <w:r w:rsidR="0096126E">
        <w:rPr>
          <w:lang w:eastAsia="en-GB"/>
        </w:rPr>
        <w:t xml:space="preserve"> </w:t>
      </w:r>
      <w:r w:rsidR="004F7203">
        <w:rPr>
          <w:lang w:eastAsia="en-GB"/>
        </w:rPr>
        <w:t>the following options:</w:t>
      </w:r>
    </w:p>
    <w:p w14:paraId="2465B893" w14:textId="77777777" w:rsidR="00E262C1" w:rsidRDefault="00E262C1" w:rsidP="00E262C1">
      <w:pPr>
        <w:pStyle w:val="ListParagraph"/>
        <w:spacing w:after="80"/>
      </w:pPr>
      <w:r>
        <w:t>Large Print, Audio, Braille, Audio Description and electronic means for people in the blind community;</w:t>
      </w:r>
    </w:p>
    <w:p w14:paraId="6D66A216" w14:textId="77777777" w:rsidR="00E262C1" w:rsidRDefault="00E262C1" w:rsidP="00E262C1">
      <w:pPr>
        <w:pStyle w:val="ListParagraph"/>
        <w:spacing w:after="80"/>
      </w:pPr>
      <w:r>
        <w:t>New Zealand Sign Language, Captions, and Picture-in-Picture for the Deaf and Hard of Hearing;</w:t>
      </w:r>
    </w:p>
    <w:p w14:paraId="15651929" w14:textId="77777777" w:rsidR="00E262C1" w:rsidRDefault="00E262C1" w:rsidP="00E262C1">
      <w:pPr>
        <w:pStyle w:val="ListParagraph"/>
      </w:pPr>
      <w:r>
        <w:t>Easy Read for people with a learning disability.</w:t>
      </w:r>
    </w:p>
    <w:p w14:paraId="6282F469" w14:textId="77777777" w:rsidR="00E318D7" w:rsidRDefault="00E318D7" w:rsidP="00E318D7">
      <w:pPr>
        <w:ind w:left="0"/>
        <w:rPr>
          <w:b/>
        </w:rPr>
      </w:pPr>
    </w:p>
    <w:p w14:paraId="54E75B07" w14:textId="71F48D69" w:rsidR="00E318D7" w:rsidRDefault="00E318D7" w:rsidP="00E318D7">
      <w:pPr>
        <w:ind w:hanging="720"/>
      </w:pPr>
      <w:r>
        <w:rPr>
          <w:b/>
        </w:rPr>
        <w:t>5.6</w:t>
      </w:r>
      <w:r>
        <w:rPr>
          <w:b/>
        </w:rPr>
        <w:tab/>
      </w:r>
      <w:r>
        <w:t xml:space="preserve">We urge consistency of </w:t>
      </w:r>
      <w:r w:rsidR="00931972">
        <w:t xml:space="preserve">terminology </w:t>
      </w:r>
      <w:r>
        <w:t xml:space="preserve">in the Draft Standard. Throughout </w:t>
      </w:r>
      <w:r w:rsidR="00931972">
        <w:t xml:space="preserve">there is </w:t>
      </w:r>
      <w:r>
        <w:t>reference to what we believe should be “alternate formats”</w:t>
      </w:r>
      <w:r w:rsidR="00931972">
        <w:t xml:space="preserve">. </w:t>
      </w:r>
      <w:r w:rsidR="00E43762">
        <w:t xml:space="preserve">Terminology </w:t>
      </w:r>
      <w:r>
        <w:t>varie</w:t>
      </w:r>
      <w:r w:rsidR="00931972">
        <w:t>s</w:t>
      </w:r>
      <w:r>
        <w:t xml:space="preserve"> and can create confusion. Wherever information should be available in alternate formats, then we urge </w:t>
      </w:r>
      <w:r w:rsidR="0096126E">
        <w:t xml:space="preserve">an </w:t>
      </w:r>
      <w:r>
        <w:t>amendment to state just that. Using terms such as “formats”</w:t>
      </w:r>
      <w:r w:rsidR="00E43762">
        <w:t xml:space="preserve">, “preferred format”, </w:t>
      </w:r>
      <w:r w:rsidR="00931972">
        <w:t xml:space="preserve">or </w:t>
      </w:r>
      <w:r>
        <w:t>“accessible information” can be misleading</w:t>
      </w:r>
      <w:r w:rsidR="00E43762">
        <w:t xml:space="preserve">. In our </w:t>
      </w:r>
      <w:r w:rsidR="00931972">
        <w:t xml:space="preserve">view, </w:t>
      </w:r>
      <w:r w:rsidR="00E43762">
        <w:t xml:space="preserve">this will create </w:t>
      </w:r>
      <w:r>
        <w:t>misunderstandings</w:t>
      </w:r>
      <w:r w:rsidR="00E43762">
        <w:t xml:space="preserve"> and potentially, may negatively influence the </w:t>
      </w:r>
      <w:r>
        <w:t xml:space="preserve">intent </w:t>
      </w:r>
      <w:r w:rsidR="00931972">
        <w:t xml:space="preserve">and requirements specified </w:t>
      </w:r>
      <w:r>
        <w:t>in the Draft Standard</w:t>
      </w:r>
      <w:r w:rsidR="00E43762">
        <w:t>, all of which we support!</w:t>
      </w:r>
      <w:r>
        <w:t xml:space="preserve"> </w:t>
      </w:r>
    </w:p>
    <w:p w14:paraId="4A9BF130" w14:textId="77777777" w:rsidR="004B2C4A" w:rsidRDefault="00931972" w:rsidP="00931972">
      <w:pPr>
        <w:pStyle w:val="Heading2"/>
      </w:pPr>
      <w:r>
        <w:t>6.</w:t>
      </w:r>
      <w:r>
        <w:tab/>
      </w:r>
      <w:r w:rsidR="004B2C4A">
        <w:t>Part 4: Person-centred and safe environment</w:t>
      </w:r>
    </w:p>
    <w:p w14:paraId="5B808984" w14:textId="77777777" w:rsidR="004B2C4A" w:rsidRDefault="00931972" w:rsidP="000356F6">
      <w:pPr>
        <w:ind w:hanging="720"/>
        <w:rPr>
          <w:lang w:eastAsia="en-NZ"/>
        </w:rPr>
      </w:pPr>
      <w:r>
        <w:rPr>
          <w:b/>
          <w:lang w:eastAsia="en-NZ"/>
        </w:rPr>
        <w:t>6</w:t>
      </w:r>
      <w:r w:rsidR="004B2C4A">
        <w:rPr>
          <w:b/>
          <w:lang w:eastAsia="en-NZ"/>
        </w:rPr>
        <w:t>.1</w:t>
      </w:r>
      <w:r w:rsidR="004B2C4A">
        <w:rPr>
          <w:b/>
          <w:lang w:eastAsia="en-NZ"/>
        </w:rPr>
        <w:tab/>
        <w:t xml:space="preserve">The Facility </w:t>
      </w:r>
      <w:r w:rsidR="003E6511">
        <w:rPr>
          <w:b/>
          <w:lang w:eastAsia="en-NZ"/>
        </w:rPr>
        <w:t xml:space="preserve">– I know what it means for me </w:t>
      </w:r>
      <w:r w:rsidR="004B2C4A">
        <w:rPr>
          <w:b/>
          <w:lang w:eastAsia="en-NZ"/>
        </w:rPr>
        <w:t>(Refer 4</w:t>
      </w:r>
      <w:r w:rsidR="003E6511">
        <w:rPr>
          <w:b/>
          <w:lang w:eastAsia="en-NZ"/>
        </w:rPr>
        <w:t>.</w:t>
      </w:r>
      <w:r w:rsidR="004B2C4A">
        <w:rPr>
          <w:b/>
          <w:lang w:eastAsia="en-NZ"/>
        </w:rPr>
        <w:t>1</w:t>
      </w:r>
      <w:r w:rsidR="003E6511">
        <w:rPr>
          <w:b/>
          <w:lang w:eastAsia="en-NZ"/>
        </w:rPr>
        <w:t>, page 1</w:t>
      </w:r>
      <w:r w:rsidR="004B2C4A">
        <w:rPr>
          <w:b/>
          <w:lang w:eastAsia="en-NZ"/>
        </w:rPr>
        <w:t>94)</w:t>
      </w:r>
      <w:r w:rsidR="000356F6">
        <w:rPr>
          <w:b/>
          <w:lang w:eastAsia="en-NZ"/>
        </w:rPr>
        <w:t xml:space="preserve">: </w:t>
      </w:r>
      <w:r w:rsidR="000356F6">
        <w:rPr>
          <w:lang w:eastAsia="en-NZ"/>
        </w:rPr>
        <w:t xml:space="preserve">The Outcome Statement </w:t>
      </w:r>
      <w:r w:rsidR="003E6511">
        <w:rPr>
          <w:lang w:eastAsia="en-NZ"/>
        </w:rPr>
        <w:t xml:space="preserve">(Part 4) </w:t>
      </w:r>
      <w:r w:rsidR="000356F6">
        <w:rPr>
          <w:lang w:eastAsia="en-NZ"/>
        </w:rPr>
        <w:t xml:space="preserve">sets the scene in terms of the environment </w:t>
      </w:r>
      <w:r w:rsidR="003E6511">
        <w:rPr>
          <w:lang w:eastAsia="en-NZ"/>
        </w:rPr>
        <w:t xml:space="preserve">in which </w:t>
      </w:r>
      <w:r w:rsidR="000356F6">
        <w:rPr>
          <w:lang w:eastAsia="en-NZ"/>
        </w:rPr>
        <w:t xml:space="preserve">people can </w:t>
      </w:r>
      <w:r w:rsidR="000356F6">
        <w:rPr>
          <w:lang w:eastAsia="en-NZ"/>
        </w:rPr>
        <w:lastRenderedPageBreak/>
        <w:t xml:space="preserve">expect to receive services. Blind Citizens NZ believes it would be prudent to reinforce those expectations </w:t>
      </w:r>
      <w:r w:rsidR="003E6511">
        <w:rPr>
          <w:lang w:eastAsia="en-NZ"/>
        </w:rPr>
        <w:t>and we suggest:</w:t>
      </w:r>
    </w:p>
    <w:p w14:paraId="6D2866F1" w14:textId="77777777" w:rsidR="003E6511" w:rsidRDefault="003E6511" w:rsidP="003E6511">
      <w:pPr>
        <w:ind w:left="1440" w:hanging="720"/>
        <w:rPr>
          <w:lang w:eastAsia="en-NZ"/>
        </w:rPr>
      </w:pPr>
      <w:r w:rsidRPr="003E6511">
        <w:rPr>
          <w:b/>
          <w:lang w:eastAsia="en-NZ"/>
        </w:rPr>
        <w:t>a)</w:t>
      </w:r>
      <w:r w:rsidRPr="003E6511">
        <w:rPr>
          <w:b/>
          <w:lang w:eastAsia="en-NZ"/>
        </w:rPr>
        <w:tab/>
        <w:t xml:space="preserve">The </w:t>
      </w:r>
      <w:r>
        <w:rPr>
          <w:b/>
          <w:lang w:eastAsia="en-NZ"/>
        </w:rPr>
        <w:t>p</w:t>
      </w:r>
      <w:r w:rsidRPr="003E6511">
        <w:rPr>
          <w:b/>
          <w:lang w:eastAsia="en-NZ"/>
        </w:rPr>
        <w:t>eople (column one)</w:t>
      </w:r>
      <w:r>
        <w:rPr>
          <w:lang w:eastAsia="en-NZ"/>
        </w:rPr>
        <w:t xml:space="preserve">: adding the word “independence” as follows &lt;begins&gt; I feel the environment is designed in a way that does not exclude me, is safe and is sensitive to my needs. I am able to enter, exit, and move around the environment </w:t>
      </w:r>
      <w:r w:rsidRPr="003E6511">
        <w:rPr>
          <w:b/>
          <w:lang w:eastAsia="en-NZ"/>
        </w:rPr>
        <w:t>independently</w:t>
      </w:r>
      <w:r>
        <w:rPr>
          <w:lang w:eastAsia="en-NZ"/>
        </w:rPr>
        <w:t>, freely and safely &lt;ends&gt;</w:t>
      </w:r>
    </w:p>
    <w:p w14:paraId="42020B29" w14:textId="77777777" w:rsidR="003E6511" w:rsidRPr="00E43762" w:rsidRDefault="003E6511" w:rsidP="003E6511">
      <w:pPr>
        <w:ind w:left="1440" w:hanging="720"/>
        <w:rPr>
          <w:rFonts w:eastAsiaTheme="minorEastAsia" w:cstheme="minorBidi"/>
          <w:b/>
        </w:rPr>
      </w:pPr>
      <w:r w:rsidRPr="00E43762">
        <w:rPr>
          <w:b/>
          <w:lang w:eastAsia="en-NZ"/>
        </w:rPr>
        <w:t>b)</w:t>
      </w:r>
      <w:r w:rsidRPr="00E43762">
        <w:rPr>
          <w:b/>
          <w:lang w:eastAsia="en-NZ"/>
        </w:rPr>
        <w:tab/>
        <w:t>As servi</w:t>
      </w:r>
      <w:r w:rsidR="00845F42" w:rsidRPr="00E43762">
        <w:rPr>
          <w:b/>
          <w:lang w:eastAsia="en-NZ"/>
        </w:rPr>
        <w:t xml:space="preserve">ce providers (column three): </w:t>
      </w:r>
      <w:r w:rsidR="00845F42" w:rsidRPr="00E43762">
        <w:rPr>
          <w:lang w:eastAsia="en-NZ"/>
        </w:rPr>
        <w:t xml:space="preserve">reinforcing accessibility and independence as follows </w:t>
      </w:r>
      <w:r w:rsidRPr="00E7738A">
        <w:rPr>
          <w:lang w:eastAsia="en-NZ"/>
        </w:rPr>
        <w:t>&lt;begins&gt;</w:t>
      </w:r>
      <w:r w:rsidRPr="00E43762">
        <w:rPr>
          <w:b/>
          <w:lang w:eastAsia="en-NZ"/>
        </w:rPr>
        <w:t xml:space="preserve"> </w:t>
      </w:r>
      <w:r w:rsidRPr="00E43762">
        <w:rPr>
          <w:rFonts w:eastAsiaTheme="minorEastAsia" w:cstheme="minorBidi"/>
        </w:rPr>
        <w:t xml:space="preserve">Our physical environment is safe, well maintained, tidy, comfortable </w:t>
      </w:r>
      <w:r w:rsidRPr="00E43762">
        <w:rPr>
          <w:rFonts w:eastAsiaTheme="minorEastAsia" w:cstheme="minorBidi"/>
          <w:b/>
        </w:rPr>
        <w:t xml:space="preserve">and accessible, </w:t>
      </w:r>
      <w:r w:rsidRPr="00E43762">
        <w:rPr>
          <w:rFonts w:eastAsiaTheme="minorEastAsia" w:cstheme="minorBidi"/>
        </w:rPr>
        <w:t xml:space="preserve">and the people we deliver services to can move </w:t>
      </w:r>
      <w:r w:rsidRPr="00E43762">
        <w:rPr>
          <w:rFonts w:eastAsiaTheme="minorEastAsia" w:cstheme="minorBidi"/>
          <w:b/>
        </w:rPr>
        <w:t>independently and</w:t>
      </w:r>
      <w:r w:rsidRPr="00E43762">
        <w:rPr>
          <w:rFonts w:eastAsiaTheme="minorEastAsia" w:cstheme="minorBidi"/>
        </w:rPr>
        <w:t xml:space="preserve"> freely throughout. The physical environment optimises people’s sense of belonging, independence, interaction, and fun</w:t>
      </w:r>
      <w:r w:rsidR="00845F42" w:rsidRPr="00E43762">
        <w:rPr>
          <w:rFonts w:eastAsiaTheme="minorEastAsia" w:cstheme="minorBidi"/>
        </w:rPr>
        <w:t xml:space="preserve">ction </w:t>
      </w:r>
      <w:r w:rsidR="0068075F" w:rsidRPr="00E43762">
        <w:rPr>
          <w:rFonts w:eastAsiaTheme="minorEastAsia" w:cstheme="minorBidi"/>
          <w:b/>
        </w:rPr>
        <w:t xml:space="preserve">&lt;ends&gt; </w:t>
      </w:r>
    </w:p>
    <w:p w14:paraId="6372F50A" w14:textId="77777777" w:rsidR="0068075F" w:rsidRPr="00E43762" w:rsidRDefault="0068075F" w:rsidP="003E6511">
      <w:pPr>
        <w:ind w:left="1440" w:hanging="720"/>
        <w:rPr>
          <w:rFonts w:eastAsiaTheme="minorEastAsia" w:cstheme="minorBidi"/>
        </w:rPr>
      </w:pPr>
    </w:p>
    <w:p w14:paraId="4C2F75F8" w14:textId="072A1AC2" w:rsidR="0068075F" w:rsidRPr="00E43762" w:rsidRDefault="0068075F" w:rsidP="0068075F">
      <w:pPr>
        <w:rPr>
          <w:rFonts w:eastAsiaTheme="minorEastAsia" w:cstheme="minorBidi"/>
        </w:rPr>
      </w:pPr>
      <w:r w:rsidRPr="00E43762">
        <w:rPr>
          <w:rFonts w:eastAsiaTheme="minorEastAsia" w:cstheme="minorBidi"/>
          <w:b/>
        </w:rPr>
        <w:t>Note</w:t>
      </w:r>
      <w:r w:rsidRPr="00E43762">
        <w:rPr>
          <w:rFonts w:eastAsiaTheme="minorEastAsia" w:cstheme="minorBidi"/>
        </w:rPr>
        <w:t xml:space="preserve"> - when we comment about independence, this also recognises use of mobility aids.</w:t>
      </w:r>
    </w:p>
    <w:p w14:paraId="53CD962A" w14:textId="77777777" w:rsidR="0068075F" w:rsidRPr="00E43762" w:rsidRDefault="0068075F" w:rsidP="0068075F">
      <w:pPr>
        <w:ind w:left="0"/>
        <w:rPr>
          <w:rFonts w:eastAsiaTheme="minorEastAsia" w:cstheme="minorBidi"/>
          <w:b/>
        </w:rPr>
      </w:pPr>
    </w:p>
    <w:p w14:paraId="1106B8C1" w14:textId="77777777" w:rsidR="0087623D" w:rsidRDefault="00931972" w:rsidP="0068075F">
      <w:pPr>
        <w:ind w:hanging="720"/>
        <w:rPr>
          <w:lang w:eastAsia="en-NZ"/>
        </w:rPr>
      </w:pPr>
      <w:r>
        <w:rPr>
          <w:b/>
          <w:lang w:eastAsia="en-NZ"/>
        </w:rPr>
        <w:t>6</w:t>
      </w:r>
      <w:r w:rsidR="00845F42">
        <w:rPr>
          <w:b/>
          <w:lang w:eastAsia="en-NZ"/>
        </w:rPr>
        <w:t>.2</w:t>
      </w:r>
      <w:r w:rsidR="00845F42">
        <w:rPr>
          <w:b/>
          <w:lang w:eastAsia="en-NZ"/>
        </w:rPr>
        <w:tab/>
      </w:r>
      <w:r w:rsidR="00E43762">
        <w:rPr>
          <w:b/>
          <w:lang w:eastAsia="en-NZ"/>
        </w:rPr>
        <w:t xml:space="preserve">Section </w:t>
      </w:r>
      <w:r w:rsidR="00845F42">
        <w:rPr>
          <w:b/>
          <w:lang w:eastAsia="en-NZ"/>
        </w:rPr>
        <w:t>4.1.3 (page</w:t>
      </w:r>
      <w:r w:rsidR="00BB0C6B">
        <w:rPr>
          <w:b/>
          <w:lang w:eastAsia="en-NZ"/>
        </w:rPr>
        <w:t>s</w:t>
      </w:r>
      <w:r w:rsidR="00845F42">
        <w:rPr>
          <w:b/>
          <w:lang w:eastAsia="en-NZ"/>
        </w:rPr>
        <w:t xml:space="preserve"> 19</w:t>
      </w:r>
      <w:r w:rsidR="00BB0C6B">
        <w:rPr>
          <w:b/>
          <w:lang w:eastAsia="en-NZ"/>
        </w:rPr>
        <w:t>9 and 200</w:t>
      </w:r>
      <w:r w:rsidR="00845F42">
        <w:rPr>
          <w:b/>
          <w:lang w:eastAsia="en-NZ"/>
        </w:rPr>
        <w:t xml:space="preserve">): </w:t>
      </w:r>
      <w:r w:rsidR="0068075F" w:rsidRPr="0068075F">
        <w:rPr>
          <w:lang w:eastAsia="en-NZ"/>
        </w:rPr>
        <w:t>Blind Citizens NZ</w:t>
      </w:r>
      <w:r w:rsidR="0068075F">
        <w:rPr>
          <w:lang w:eastAsia="en-NZ"/>
        </w:rPr>
        <w:t xml:space="preserve"> provides positive feedback about the level of importance </w:t>
      </w:r>
      <w:r w:rsidR="00BB0C6B">
        <w:rPr>
          <w:lang w:eastAsia="en-NZ"/>
        </w:rPr>
        <w:t xml:space="preserve">and considerations service providers are required to recognise in terms of </w:t>
      </w:r>
      <w:r w:rsidR="0068075F">
        <w:rPr>
          <w:lang w:eastAsia="en-NZ"/>
        </w:rPr>
        <w:t>meeting the needs of blind people</w:t>
      </w:r>
      <w:r w:rsidR="00BB0C6B">
        <w:rPr>
          <w:lang w:eastAsia="en-NZ"/>
        </w:rPr>
        <w:t>. In particular sub-clauses (b) and (c) of clause (d) refer page 199. Then the last bullet point and sub-clause (b) of this section (page 200), where the point is made about lighting. We cannot emphasise enough the importance of good lighting (as opposed to adequate</w:t>
      </w:r>
      <w:r w:rsidR="0087623D">
        <w:rPr>
          <w:lang w:eastAsia="en-NZ"/>
        </w:rPr>
        <w:t xml:space="preserve"> lighting</w:t>
      </w:r>
      <w:r w:rsidR="00BB0C6B">
        <w:rPr>
          <w:lang w:eastAsia="en-NZ"/>
        </w:rPr>
        <w:t>)</w:t>
      </w:r>
      <w:r w:rsidR="0087623D">
        <w:rPr>
          <w:lang w:eastAsia="en-NZ"/>
        </w:rPr>
        <w:t xml:space="preserve"> for </w:t>
      </w:r>
      <w:r>
        <w:rPr>
          <w:lang w:eastAsia="en-NZ"/>
        </w:rPr>
        <w:t xml:space="preserve">everyone, including for </w:t>
      </w:r>
      <w:r w:rsidR="0087623D">
        <w:rPr>
          <w:lang w:eastAsia="en-NZ"/>
        </w:rPr>
        <w:t xml:space="preserve">people with low vision. </w:t>
      </w:r>
      <w:r>
        <w:rPr>
          <w:lang w:eastAsia="en-NZ"/>
        </w:rPr>
        <w:t xml:space="preserve">Good lighting is </w:t>
      </w:r>
      <w:r w:rsidR="0087623D">
        <w:rPr>
          <w:lang w:eastAsia="en-NZ"/>
        </w:rPr>
        <w:t>a consideration often overlooked.</w:t>
      </w:r>
    </w:p>
    <w:p w14:paraId="49EA8261" w14:textId="77777777" w:rsidR="00BB0C6B" w:rsidRDefault="00BB0C6B" w:rsidP="0068075F">
      <w:pPr>
        <w:ind w:hanging="720"/>
        <w:rPr>
          <w:lang w:eastAsia="en-NZ"/>
        </w:rPr>
      </w:pPr>
    </w:p>
    <w:p w14:paraId="44989AE8" w14:textId="77777777" w:rsidR="0057156C" w:rsidRDefault="00931972" w:rsidP="0068075F">
      <w:pPr>
        <w:ind w:hanging="720"/>
        <w:rPr>
          <w:lang w:eastAsia="en-NZ"/>
        </w:rPr>
      </w:pPr>
      <w:r>
        <w:rPr>
          <w:b/>
          <w:lang w:eastAsia="en-NZ"/>
        </w:rPr>
        <w:t>6</w:t>
      </w:r>
      <w:r w:rsidR="00BB0C6B">
        <w:rPr>
          <w:b/>
          <w:lang w:eastAsia="en-NZ"/>
        </w:rPr>
        <w:t>.3</w:t>
      </w:r>
      <w:r w:rsidR="00BB0C6B">
        <w:rPr>
          <w:b/>
          <w:lang w:eastAsia="en-NZ"/>
        </w:rPr>
        <w:tab/>
      </w:r>
      <w:r w:rsidR="00E43762">
        <w:rPr>
          <w:b/>
          <w:lang w:eastAsia="en-NZ"/>
        </w:rPr>
        <w:t xml:space="preserve">Section </w:t>
      </w:r>
      <w:r w:rsidR="0087623D">
        <w:rPr>
          <w:b/>
          <w:lang w:eastAsia="en-NZ"/>
        </w:rPr>
        <w:t xml:space="preserve">4.1.4 (pages 200 and 201): </w:t>
      </w:r>
      <w:r w:rsidR="0057156C">
        <w:rPr>
          <w:lang w:eastAsia="en-NZ"/>
        </w:rPr>
        <w:t xml:space="preserve">this section considers personal </w:t>
      </w:r>
      <w:r>
        <w:rPr>
          <w:lang w:eastAsia="en-NZ"/>
        </w:rPr>
        <w:t xml:space="preserve">and leisure </w:t>
      </w:r>
      <w:r w:rsidR="0057156C">
        <w:rPr>
          <w:lang w:eastAsia="en-NZ"/>
        </w:rPr>
        <w:t>space. Accessibility requirements to meet rela</w:t>
      </w:r>
      <w:r>
        <w:rPr>
          <w:lang w:eastAsia="en-NZ"/>
        </w:rPr>
        <w:t>xa</w:t>
      </w:r>
      <w:r w:rsidR="0057156C">
        <w:rPr>
          <w:lang w:eastAsia="en-NZ"/>
        </w:rPr>
        <w:t>tion and other stated aspects is important</w:t>
      </w:r>
      <w:r>
        <w:rPr>
          <w:lang w:eastAsia="en-NZ"/>
        </w:rPr>
        <w:t xml:space="preserve"> and we make the point that</w:t>
      </w:r>
      <w:r w:rsidR="0057156C">
        <w:rPr>
          <w:lang w:eastAsia="en-NZ"/>
        </w:rPr>
        <w:t xml:space="preserve">. </w:t>
      </w:r>
    </w:p>
    <w:p w14:paraId="2D7B7DB0" w14:textId="77777777" w:rsidR="00B40E22" w:rsidRDefault="0057156C" w:rsidP="0057156C">
      <w:pPr>
        <w:ind w:left="1440" w:hanging="720"/>
        <w:rPr>
          <w:lang w:eastAsia="en-NZ"/>
        </w:rPr>
      </w:pPr>
      <w:r>
        <w:rPr>
          <w:b/>
          <w:lang w:eastAsia="en-NZ"/>
        </w:rPr>
        <w:t>a)</w:t>
      </w:r>
      <w:r>
        <w:rPr>
          <w:b/>
          <w:lang w:eastAsia="en-NZ"/>
        </w:rPr>
        <w:tab/>
      </w:r>
      <w:r>
        <w:rPr>
          <w:lang w:eastAsia="en-NZ"/>
        </w:rPr>
        <w:t>all too often disabled people are required to compromise on the level of privacy they experience compared to non-disabled people</w:t>
      </w:r>
      <w:r w:rsidR="00EB4E63">
        <w:rPr>
          <w:lang w:eastAsia="en-NZ"/>
        </w:rPr>
        <w:t xml:space="preserve"> and situations such as this must be avoided</w:t>
      </w:r>
      <w:r w:rsidR="00B40E22">
        <w:rPr>
          <w:lang w:eastAsia="en-NZ"/>
        </w:rPr>
        <w:t>;</w:t>
      </w:r>
    </w:p>
    <w:p w14:paraId="7591A6BF" w14:textId="77777777" w:rsidR="00BB0C6B" w:rsidRDefault="00B40E22" w:rsidP="0057156C">
      <w:pPr>
        <w:ind w:left="1440" w:hanging="720"/>
        <w:rPr>
          <w:lang w:eastAsia="en-NZ"/>
        </w:rPr>
      </w:pPr>
      <w:r>
        <w:rPr>
          <w:b/>
          <w:lang w:eastAsia="en-NZ"/>
        </w:rPr>
        <w:t>b)</w:t>
      </w:r>
      <w:r>
        <w:rPr>
          <w:b/>
          <w:lang w:eastAsia="en-NZ"/>
        </w:rPr>
        <w:tab/>
      </w:r>
      <w:r w:rsidR="0057156C">
        <w:rPr>
          <w:lang w:eastAsia="en-NZ"/>
        </w:rPr>
        <w:t xml:space="preserve">it is important for good lighting to be both a consideration and requirement in all situations. </w:t>
      </w:r>
    </w:p>
    <w:p w14:paraId="6FB6D71C" w14:textId="77777777" w:rsidR="00B40E22" w:rsidRDefault="00B40E22" w:rsidP="0057156C">
      <w:pPr>
        <w:ind w:left="1440" w:hanging="720"/>
        <w:rPr>
          <w:lang w:eastAsia="en-NZ"/>
        </w:rPr>
      </w:pPr>
    </w:p>
    <w:p w14:paraId="54673266" w14:textId="341454F3" w:rsidR="00B40E22" w:rsidRPr="0087623D" w:rsidRDefault="00EB4E63" w:rsidP="00EB4E63">
      <w:pPr>
        <w:ind w:hanging="720"/>
        <w:rPr>
          <w:lang w:eastAsia="en-NZ"/>
        </w:rPr>
      </w:pPr>
      <w:r>
        <w:rPr>
          <w:b/>
          <w:lang w:eastAsia="en-NZ"/>
        </w:rPr>
        <w:t>6.4</w:t>
      </w:r>
      <w:r>
        <w:rPr>
          <w:b/>
          <w:lang w:eastAsia="en-NZ"/>
        </w:rPr>
        <w:tab/>
      </w:r>
      <w:r w:rsidR="00B40E22">
        <w:rPr>
          <w:lang w:eastAsia="en-NZ"/>
        </w:rPr>
        <w:t xml:space="preserve">Bullet point eight </w:t>
      </w:r>
      <w:r w:rsidR="0096126E">
        <w:rPr>
          <w:lang w:eastAsia="en-NZ"/>
        </w:rPr>
        <w:t>(</w:t>
      </w:r>
      <w:r w:rsidR="00B40E22">
        <w:rPr>
          <w:lang w:eastAsia="en-NZ"/>
        </w:rPr>
        <w:t xml:space="preserve">section </w:t>
      </w:r>
      <w:r>
        <w:rPr>
          <w:lang w:eastAsia="en-NZ"/>
        </w:rPr>
        <w:t>4.1.4</w:t>
      </w:r>
      <w:r w:rsidR="0096126E">
        <w:rPr>
          <w:lang w:eastAsia="en-NZ"/>
        </w:rPr>
        <w:t>)</w:t>
      </w:r>
      <w:r>
        <w:rPr>
          <w:lang w:eastAsia="en-NZ"/>
        </w:rPr>
        <w:t xml:space="preserve"> </w:t>
      </w:r>
      <w:r w:rsidR="00B40E22">
        <w:rPr>
          <w:lang w:eastAsia="en-NZ"/>
        </w:rPr>
        <w:t>comments on the value of service providers providing visual prompts and cues as a means of enhancing communications. We encourage Standards New Zealand and the Ministry of Health to recognise</w:t>
      </w:r>
      <w:r w:rsidR="00217C39">
        <w:rPr>
          <w:lang w:eastAsia="en-NZ"/>
        </w:rPr>
        <w:t xml:space="preserve"> </w:t>
      </w:r>
      <w:r w:rsidR="0096126E">
        <w:rPr>
          <w:lang w:eastAsia="en-NZ"/>
        </w:rPr>
        <w:t xml:space="preserve">and include the </w:t>
      </w:r>
      <w:r w:rsidR="00B40E22">
        <w:rPr>
          <w:lang w:eastAsia="en-NZ"/>
        </w:rPr>
        <w:t xml:space="preserve">value </w:t>
      </w:r>
      <w:r w:rsidR="0096126E">
        <w:rPr>
          <w:lang w:eastAsia="en-NZ"/>
        </w:rPr>
        <w:t>of</w:t>
      </w:r>
      <w:r w:rsidR="002E2041">
        <w:rPr>
          <w:lang w:eastAsia="en-NZ"/>
        </w:rPr>
        <w:t>,</w:t>
      </w:r>
      <w:r w:rsidR="0096126E">
        <w:rPr>
          <w:lang w:eastAsia="en-NZ"/>
        </w:rPr>
        <w:t xml:space="preserve"> and the </w:t>
      </w:r>
      <w:r>
        <w:rPr>
          <w:lang w:eastAsia="en-NZ"/>
        </w:rPr>
        <w:t>need for</w:t>
      </w:r>
      <w:r w:rsidR="002E2041">
        <w:rPr>
          <w:lang w:eastAsia="en-NZ"/>
        </w:rPr>
        <w:t>,</w:t>
      </w:r>
      <w:r>
        <w:rPr>
          <w:lang w:eastAsia="en-NZ"/>
        </w:rPr>
        <w:t xml:space="preserve"> </w:t>
      </w:r>
      <w:r w:rsidR="00B40E22">
        <w:rPr>
          <w:lang w:eastAsia="en-NZ"/>
        </w:rPr>
        <w:t>audible prompts and cues</w:t>
      </w:r>
      <w:r w:rsidR="002E2041">
        <w:rPr>
          <w:lang w:eastAsia="en-NZ"/>
        </w:rPr>
        <w:t xml:space="preserve">. These </w:t>
      </w:r>
      <w:r w:rsidR="00B40E22">
        <w:rPr>
          <w:lang w:eastAsia="en-NZ"/>
        </w:rPr>
        <w:t xml:space="preserve">are important </w:t>
      </w:r>
      <w:r>
        <w:rPr>
          <w:lang w:eastAsia="en-NZ"/>
        </w:rPr>
        <w:t>tool</w:t>
      </w:r>
      <w:r w:rsidR="002E2041">
        <w:rPr>
          <w:lang w:eastAsia="en-NZ"/>
        </w:rPr>
        <w:t>s</w:t>
      </w:r>
      <w:r>
        <w:rPr>
          <w:lang w:eastAsia="en-NZ"/>
        </w:rPr>
        <w:t xml:space="preserve"> and </w:t>
      </w:r>
      <w:r w:rsidR="002E2041">
        <w:rPr>
          <w:lang w:eastAsia="en-NZ"/>
        </w:rPr>
        <w:t xml:space="preserve">are </w:t>
      </w:r>
      <w:r>
        <w:rPr>
          <w:lang w:eastAsia="en-NZ"/>
        </w:rPr>
        <w:t xml:space="preserve">extremely </w:t>
      </w:r>
      <w:r w:rsidR="00B40E22">
        <w:rPr>
          <w:lang w:eastAsia="en-NZ"/>
        </w:rPr>
        <w:t>useful for blind people to navigate their surroundings / environment.</w:t>
      </w:r>
    </w:p>
    <w:p w14:paraId="16055C2F" w14:textId="4520F16F" w:rsidR="00DA5D0D" w:rsidRDefault="008B78A1" w:rsidP="007C1DD7">
      <w:pPr>
        <w:pStyle w:val="Heading2"/>
      </w:pPr>
      <w:r>
        <w:t>7.</w:t>
      </w:r>
      <w:r>
        <w:tab/>
        <w:t>Data – collection, maintenance, storage, and usage</w:t>
      </w:r>
    </w:p>
    <w:p w14:paraId="542E3DA1" w14:textId="4D9C685D" w:rsidR="0072337D" w:rsidRDefault="00773CE2" w:rsidP="00773CE2">
      <w:pPr>
        <w:rPr>
          <w:lang w:eastAsia="en-NZ"/>
        </w:rPr>
      </w:pPr>
      <w:r>
        <w:rPr>
          <w:lang w:eastAsia="en-NZ"/>
        </w:rPr>
        <w:t xml:space="preserve">An area </w:t>
      </w:r>
      <w:r w:rsidR="00793A61">
        <w:rPr>
          <w:lang w:eastAsia="en-NZ"/>
        </w:rPr>
        <w:t xml:space="preserve">Blind Citizens NZ </w:t>
      </w:r>
      <w:r>
        <w:rPr>
          <w:lang w:eastAsia="en-NZ"/>
        </w:rPr>
        <w:t>believes can be strengthened is with respect to the collection</w:t>
      </w:r>
      <w:r w:rsidR="008B78A1">
        <w:rPr>
          <w:lang w:eastAsia="en-NZ"/>
        </w:rPr>
        <w:t>,</w:t>
      </w:r>
      <w:r>
        <w:rPr>
          <w:lang w:eastAsia="en-NZ"/>
        </w:rPr>
        <w:t xml:space="preserve"> maintenance</w:t>
      </w:r>
      <w:r w:rsidR="008B78A1">
        <w:rPr>
          <w:lang w:eastAsia="en-NZ"/>
        </w:rPr>
        <w:t xml:space="preserve">, storage and usage </w:t>
      </w:r>
      <w:r>
        <w:rPr>
          <w:lang w:eastAsia="en-NZ"/>
        </w:rPr>
        <w:t xml:space="preserve">of </w:t>
      </w:r>
      <w:r w:rsidR="005526E1">
        <w:rPr>
          <w:lang w:eastAsia="en-NZ"/>
        </w:rPr>
        <w:t>data</w:t>
      </w:r>
      <w:r>
        <w:rPr>
          <w:lang w:eastAsia="en-NZ"/>
        </w:rPr>
        <w:t xml:space="preserve">. The Draft Standard is at pains to reinforce, and rightly so, </w:t>
      </w:r>
      <w:r w:rsidR="005526E1">
        <w:rPr>
          <w:lang w:eastAsia="en-NZ"/>
        </w:rPr>
        <w:t xml:space="preserve">high </w:t>
      </w:r>
      <w:r>
        <w:rPr>
          <w:lang w:eastAsia="en-NZ"/>
        </w:rPr>
        <w:t>expectations and deliverables around the collection</w:t>
      </w:r>
      <w:r w:rsidR="008B78A1">
        <w:rPr>
          <w:lang w:eastAsia="en-NZ"/>
        </w:rPr>
        <w:t xml:space="preserve">, </w:t>
      </w:r>
      <w:r>
        <w:rPr>
          <w:lang w:eastAsia="en-NZ"/>
        </w:rPr>
        <w:t>maintenance</w:t>
      </w:r>
      <w:r w:rsidR="008B78A1">
        <w:rPr>
          <w:lang w:eastAsia="en-NZ"/>
        </w:rPr>
        <w:t>, storage and use</w:t>
      </w:r>
      <w:r>
        <w:rPr>
          <w:lang w:eastAsia="en-NZ"/>
        </w:rPr>
        <w:t xml:space="preserve"> of all data. </w:t>
      </w:r>
    </w:p>
    <w:p w14:paraId="3487CD57" w14:textId="77777777" w:rsidR="0072337D" w:rsidRDefault="0072337D" w:rsidP="00773CE2">
      <w:pPr>
        <w:rPr>
          <w:lang w:val="en-GB" w:eastAsia="en-NZ"/>
        </w:rPr>
      </w:pPr>
    </w:p>
    <w:p w14:paraId="31A48C9D" w14:textId="00A0E08C" w:rsidR="00773CE2" w:rsidRDefault="008B78A1" w:rsidP="005526E1">
      <w:pPr>
        <w:rPr>
          <w:rFonts w:cs="Arial"/>
          <w:color w:val="2C2C2C"/>
          <w:sz w:val="27"/>
          <w:szCs w:val="27"/>
          <w:shd w:val="clear" w:color="auto" w:fill="FFFFFF"/>
        </w:rPr>
      </w:pPr>
      <w:r>
        <w:rPr>
          <w:lang w:val="en-GB" w:eastAsia="en-NZ"/>
        </w:rPr>
        <w:t xml:space="preserve">While </w:t>
      </w:r>
      <w:r w:rsidR="00773CE2">
        <w:rPr>
          <w:lang w:eastAsia="en-NZ"/>
        </w:rPr>
        <w:t xml:space="preserve">there are </w:t>
      </w:r>
      <w:r>
        <w:rPr>
          <w:lang w:eastAsia="en-NZ"/>
        </w:rPr>
        <w:t xml:space="preserve">data related </w:t>
      </w:r>
      <w:r w:rsidR="00773CE2">
        <w:rPr>
          <w:lang w:eastAsia="en-NZ"/>
        </w:rPr>
        <w:t xml:space="preserve">resources and tools referred to in the Draft Standard, in our view a key document has been overlooked. We refer to the </w:t>
      </w:r>
      <w:r w:rsidR="00773CE2" w:rsidRPr="008B78A1">
        <w:rPr>
          <w:b/>
          <w:lang w:eastAsia="en-NZ"/>
        </w:rPr>
        <w:t xml:space="preserve">Data Protection and </w:t>
      </w:r>
      <w:r w:rsidR="00773CE2" w:rsidRPr="00421994">
        <w:rPr>
          <w:b/>
        </w:rPr>
        <w:t>Usage Policy</w:t>
      </w:r>
      <w:r w:rsidRPr="005526E1">
        <w:t xml:space="preserve"> (Policy)</w:t>
      </w:r>
      <w:r w:rsidR="00773CE2" w:rsidRPr="005526E1">
        <w:t xml:space="preserve">, endorsed by Cabinet in November 2019. Implementation work </w:t>
      </w:r>
      <w:r w:rsidR="00421994">
        <w:t xml:space="preserve">in </w:t>
      </w:r>
      <w:r w:rsidR="0072337D" w:rsidRPr="005526E1">
        <w:t xml:space="preserve">relation to this Policy </w:t>
      </w:r>
      <w:r w:rsidR="00773CE2" w:rsidRPr="005526E1">
        <w:t xml:space="preserve">is currently being led by </w:t>
      </w:r>
      <w:r w:rsidR="0072337D" w:rsidRPr="005526E1">
        <w:t xml:space="preserve">five </w:t>
      </w:r>
      <w:r w:rsidR="00773CE2" w:rsidRPr="005526E1">
        <w:t>foundational government agencies, including the Ministries of Social Development, Education, Health, Oranga Tamariki – Ministry for Children, and the Social Wellbeing Agency.</w:t>
      </w:r>
    </w:p>
    <w:p w14:paraId="00B9C603" w14:textId="125CD1B8" w:rsidR="008B78A1" w:rsidRDefault="008B78A1" w:rsidP="005526E1">
      <w:pPr>
        <w:rPr>
          <w:rFonts w:cs="Arial"/>
          <w:color w:val="2C2C2C"/>
          <w:sz w:val="27"/>
          <w:szCs w:val="27"/>
          <w:shd w:val="clear" w:color="auto" w:fill="FFFFFF"/>
        </w:rPr>
      </w:pPr>
    </w:p>
    <w:p w14:paraId="5368612B" w14:textId="384AC915" w:rsidR="008B78A1" w:rsidRPr="00793A61" w:rsidRDefault="0072337D" w:rsidP="005526E1">
      <w:pPr>
        <w:rPr>
          <w:lang w:eastAsia="en-NZ"/>
        </w:rPr>
      </w:pPr>
      <w:r>
        <w:t xml:space="preserve">This </w:t>
      </w:r>
      <w:r w:rsidR="008B78A1">
        <w:t xml:space="preserve">Policy </w:t>
      </w:r>
      <w:r w:rsidR="008B78A1">
        <w:rPr>
          <w:lang w:val="en-GB"/>
        </w:rPr>
        <w:t xml:space="preserve">is for use by </w:t>
      </w:r>
      <w:r w:rsidR="008B78A1">
        <w:t>the social sector which comprises government agencies, non-governmental organisations and other providers of services to support New Zealanders’ wellbeing across a range of areas</w:t>
      </w:r>
      <w:r w:rsidR="005526E1">
        <w:t xml:space="preserve">. This includes </w:t>
      </w:r>
      <w:r w:rsidR="008B78A1">
        <w:t xml:space="preserve">welfare, education, health, justice, child wellbeing, housing and disability support services. </w:t>
      </w:r>
    </w:p>
    <w:p w14:paraId="0DE63412" w14:textId="77777777" w:rsidR="008B78A1" w:rsidRDefault="008B78A1" w:rsidP="005526E1">
      <w:pPr>
        <w:rPr>
          <w:rFonts w:cs="Arial"/>
          <w:color w:val="2C2C2C"/>
          <w:sz w:val="27"/>
          <w:szCs w:val="27"/>
          <w:shd w:val="clear" w:color="auto" w:fill="FFFFFF"/>
        </w:rPr>
      </w:pPr>
    </w:p>
    <w:p w14:paraId="4658B8E0" w14:textId="5BA5B639" w:rsidR="00773CE2" w:rsidRDefault="008B78A1" w:rsidP="005526E1">
      <w:pPr>
        <w:rPr>
          <w:shd w:val="clear" w:color="auto" w:fill="FFFFFF"/>
        </w:rPr>
      </w:pPr>
      <w:r>
        <w:rPr>
          <w:shd w:val="clear" w:color="auto" w:fill="FFFFFF"/>
        </w:rPr>
        <w:t>As stated on the Social Wellbeing Agency’s website (</w:t>
      </w:r>
      <w:hyperlink r:id="rId8" w:history="1">
        <w:r w:rsidRPr="00184DC5">
          <w:rPr>
            <w:rStyle w:val="Hyperlink"/>
            <w:lang w:eastAsia="en-NZ"/>
          </w:rPr>
          <w:t>https://dpup.swa.govt.nz/</w:t>
        </w:r>
      </w:hyperlink>
      <w:r>
        <w:rPr>
          <w:lang w:eastAsia="en-NZ"/>
        </w:rPr>
        <w:t xml:space="preserve">), the Policy &lt;begins&gt; </w:t>
      </w:r>
      <w:r w:rsidR="00773CE2">
        <w:rPr>
          <w:shd w:val="clear" w:color="auto" w:fill="FFFFFF"/>
        </w:rPr>
        <w:t>describes what ‘doing the right thing’ looks like when collecting or using people’s data and information. It helps people understand how their information might be used, what rights and choices they have, and how to use those rights. It talks about the importance of working with others who are part of, or work with, the communities</w:t>
      </w:r>
      <w:r w:rsidR="00421994">
        <w:rPr>
          <w:shd w:val="clear" w:color="auto" w:fill="FFFFFF"/>
        </w:rPr>
        <w:t xml:space="preserve"> </w:t>
      </w:r>
      <w:r w:rsidR="00773CE2">
        <w:rPr>
          <w:shd w:val="clear" w:color="auto" w:fill="FFFFFF"/>
        </w:rPr>
        <w:t>data comes from.</w:t>
      </w:r>
      <w:r w:rsidR="005526E1">
        <w:rPr>
          <w:shd w:val="clear" w:color="auto" w:fill="FFFFFF"/>
        </w:rPr>
        <w:t xml:space="preserve"> &lt;ends&gt;</w:t>
      </w:r>
    </w:p>
    <w:p w14:paraId="4FE1A461" w14:textId="1E6C0D7C" w:rsidR="008B78A1" w:rsidRDefault="008B78A1" w:rsidP="005526E1">
      <w:pPr>
        <w:rPr>
          <w:shd w:val="clear" w:color="auto" w:fill="FFFFFF"/>
        </w:rPr>
      </w:pPr>
    </w:p>
    <w:p w14:paraId="60F3FE10" w14:textId="3FBDAAD6" w:rsidR="00421994" w:rsidRDefault="008B78A1" w:rsidP="005526E1">
      <w:pPr>
        <w:rPr>
          <w:shd w:val="clear" w:color="auto" w:fill="FFFFFF"/>
        </w:rPr>
      </w:pPr>
      <w:r>
        <w:rPr>
          <w:shd w:val="clear" w:color="auto" w:fill="FFFFFF"/>
        </w:rPr>
        <w:t xml:space="preserve">Blind Citizens </w:t>
      </w:r>
      <w:r w:rsidR="005526E1">
        <w:rPr>
          <w:shd w:val="clear" w:color="auto" w:fill="FFFFFF"/>
        </w:rPr>
        <w:t xml:space="preserve">NZ believes </w:t>
      </w:r>
      <w:r w:rsidR="001120BC">
        <w:rPr>
          <w:shd w:val="clear" w:color="auto" w:fill="FFFFFF"/>
        </w:rPr>
        <w:t xml:space="preserve">the </w:t>
      </w:r>
      <w:r w:rsidR="0072337D">
        <w:rPr>
          <w:shd w:val="clear" w:color="auto" w:fill="FFFFFF"/>
        </w:rPr>
        <w:t xml:space="preserve">Policy sets a new standard by which policies and Standards are judged. Additionally, </w:t>
      </w:r>
      <w:r w:rsidR="005526E1">
        <w:rPr>
          <w:shd w:val="clear" w:color="auto" w:fill="FFFFFF"/>
        </w:rPr>
        <w:t>in a wider health context, an aspect of the Policy that is crucial</w:t>
      </w:r>
      <w:r w:rsidR="00421994">
        <w:rPr>
          <w:shd w:val="clear" w:color="auto" w:fill="FFFFFF"/>
        </w:rPr>
        <w:t>,</w:t>
      </w:r>
      <w:r w:rsidR="005526E1">
        <w:rPr>
          <w:shd w:val="clear" w:color="auto" w:fill="FFFFFF"/>
        </w:rPr>
        <w:t xml:space="preserve"> is the ability of an individual to have private and personal access to their own files. We urge recognition of this Policy in the Draft Standard</w:t>
      </w:r>
      <w:r w:rsidR="00421994">
        <w:rPr>
          <w:shd w:val="clear" w:color="auto" w:fill="FFFFFF"/>
        </w:rPr>
        <w:t xml:space="preserve">, suggesting its inclusion </w:t>
      </w:r>
      <w:r w:rsidR="005526E1">
        <w:rPr>
          <w:shd w:val="clear" w:color="auto" w:fill="FFFFFF"/>
        </w:rPr>
        <w:t>in the “data collection” reference</w:t>
      </w:r>
      <w:r w:rsidR="00421994">
        <w:rPr>
          <w:shd w:val="clear" w:color="auto" w:fill="FFFFFF"/>
        </w:rPr>
        <w:t>. Additionally, its use should be encouraged.</w:t>
      </w:r>
    </w:p>
    <w:p w14:paraId="5597A6F6" w14:textId="131CE17D" w:rsidR="00421994" w:rsidRDefault="00421994" w:rsidP="00421994">
      <w:pPr>
        <w:pStyle w:val="Heading2"/>
      </w:pPr>
      <w:r>
        <w:t>8.</w:t>
      </w:r>
      <w:r>
        <w:tab/>
        <w:t>Conclusion</w:t>
      </w:r>
    </w:p>
    <w:p w14:paraId="66AE247B" w14:textId="60AC730B" w:rsidR="00793A61" w:rsidRDefault="003C5557" w:rsidP="00421994">
      <w:pPr>
        <w:tabs>
          <w:tab w:val="left" w:pos="5780"/>
        </w:tabs>
        <w:rPr>
          <w:lang w:eastAsia="en-NZ"/>
        </w:rPr>
      </w:pPr>
      <w:r>
        <w:rPr>
          <w:lang w:eastAsia="en-NZ"/>
        </w:rPr>
        <w:t>In the view of Blind Citizens NZ, a</w:t>
      </w:r>
      <w:r w:rsidR="00421994">
        <w:rPr>
          <w:lang w:eastAsia="en-NZ"/>
        </w:rPr>
        <w:t xml:space="preserve">lthough there are areas that will benefit from attention, such as outlined in </w:t>
      </w:r>
      <w:r>
        <w:rPr>
          <w:lang w:eastAsia="en-NZ"/>
        </w:rPr>
        <w:t xml:space="preserve">our </w:t>
      </w:r>
      <w:r w:rsidR="00421994">
        <w:rPr>
          <w:lang w:eastAsia="en-NZ"/>
        </w:rPr>
        <w:t xml:space="preserve">submission, </w:t>
      </w:r>
      <w:r>
        <w:rPr>
          <w:lang w:eastAsia="en-NZ"/>
        </w:rPr>
        <w:t xml:space="preserve">we </w:t>
      </w:r>
      <w:r w:rsidR="00421994">
        <w:rPr>
          <w:lang w:eastAsia="en-NZ"/>
        </w:rPr>
        <w:t xml:space="preserve">offer our overall support for </w:t>
      </w:r>
      <w:r w:rsidR="0096126E">
        <w:rPr>
          <w:lang w:eastAsia="en-NZ"/>
        </w:rPr>
        <w:t xml:space="preserve">this </w:t>
      </w:r>
      <w:r w:rsidR="00793A61">
        <w:rPr>
          <w:lang w:eastAsia="en-NZ"/>
        </w:rPr>
        <w:t>Draft Standard.</w:t>
      </w:r>
      <w:r w:rsidR="0096126E">
        <w:rPr>
          <w:lang w:eastAsia="en-NZ"/>
        </w:rPr>
        <w:t xml:space="preserve"> </w:t>
      </w:r>
    </w:p>
    <w:p w14:paraId="6C38AA6B" w14:textId="54EECA66" w:rsidR="00B8310E" w:rsidRDefault="00B8310E" w:rsidP="00793A61">
      <w:pPr>
        <w:ind w:left="0"/>
        <w:rPr>
          <w:lang w:eastAsia="en-NZ"/>
        </w:rPr>
      </w:pPr>
    </w:p>
    <w:p w14:paraId="67D78AE3" w14:textId="52F80C84" w:rsidR="00B8310E" w:rsidRDefault="00B8310E" w:rsidP="00793A61">
      <w:pPr>
        <w:ind w:left="0"/>
        <w:rPr>
          <w:lang w:eastAsia="en-NZ"/>
        </w:rPr>
      </w:pPr>
    </w:p>
    <w:sectPr w:rsidR="00B8310E" w:rsidSect="002C3170">
      <w:headerReference w:type="first" r:id="rId9"/>
      <w:footerReference w:type="first" r:id="rId10"/>
      <w:pgSz w:w="11906" w:h="16838" w:code="9"/>
      <w:pgMar w:top="1134" w:right="851" w:bottom="851" w:left="1134"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B5C00" w14:textId="77777777" w:rsidR="00DE42F5" w:rsidRDefault="00DE42F5">
      <w:pPr>
        <w:spacing w:line="240" w:lineRule="auto"/>
      </w:pPr>
      <w:r>
        <w:separator/>
      </w:r>
    </w:p>
  </w:endnote>
  <w:endnote w:type="continuationSeparator" w:id="0">
    <w:p w14:paraId="73B7273F" w14:textId="77777777" w:rsidR="00DE42F5" w:rsidRDefault="00DE4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8338" w14:textId="77777777" w:rsidR="00592D4C" w:rsidRDefault="005074B5" w:rsidP="00143D7D">
    <w:pPr>
      <w:pStyle w:val="Footer"/>
    </w:pPr>
    <w:r>
      <w:rPr>
        <w:noProof/>
        <w:lang w:eastAsia="en-NZ"/>
      </w:rPr>
      <w:drawing>
        <wp:anchor distT="0" distB="0" distL="114300" distR="114300" simplePos="0" relativeHeight="251660288" behindDoc="0" locked="0" layoutInCell="1" allowOverlap="1" wp14:anchorId="4CACBF73" wp14:editId="1A397BD7">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01604" w14:textId="77777777" w:rsidR="00DE42F5" w:rsidRDefault="00DE42F5">
      <w:pPr>
        <w:spacing w:line="240" w:lineRule="auto"/>
      </w:pPr>
      <w:r>
        <w:separator/>
      </w:r>
    </w:p>
  </w:footnote>
  <w:footnote w:type="continuationSeparator" w:id="0">
    <w:p w14:paraId="4C387D74" w14:textId="77777777" w:rsidR="00DE42F5" w:rsidRDefault="00DE42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7012" w14:textId="77777777" w:rsidR="00592D4C" w:rsidRDefault="005074B5">
    <w:pPr>
      <w:pStyle w:val="Header"/>
    </w:pPr>
    <w:r>
      <w:rPr>
        <w:noProof/>
        <w:lang w:eastAsia="en-NZ"/>
      </w:rPr>
      <w:drawing>
        <wp:anchor distT="0" distB="0" distL="114300" distR="114300" simplePos="0" relativeHeight="251659264" behindDoc="1" locked="0" layoutInCell="1" allowOverlap="1" wp14:anchorId="3FBCD4EE" wp14:editId="4A417831">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0ED"/>
    <w:multiLevelType w:val="multilevel"/>
    <w:tmpl w:val="B6BA8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423DC"/>
    <w:multiLevelType w:val="multilevel"/>
    <w:tmpl w:val="EAA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80865"/>
    <w:multiLevelType w:val="hybridMultilevel"/>
    <w:tmpl w:val="78E2151E"/>
    <w:lvl w:ilvl="0" w:tplc="04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 w15:restartNumberingAfterBreak="0">
    <w:nsid w:val="3E422807"/>
    <w:multiLevelType w:val="hybridMultilevel"/>
    <w:tmpl w:val="06B0F63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0972AE5"/>
    <w:multiLevelType w:val="hybridMultilevel"/>
    <w:tmpl w:val="87763E7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Arial"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Arial"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Arial"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5BD54F1F"/>
    <w:multiLevelType w:val="hybridMultilevel"/>
    <w:tmpl w:val="5882D902"/>
    <w:lvl w:ilvl="0" w:tplc="B1F483D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C749BB"/>
    <w:multiLevelType w:val="hybridMultilevel"/>
    <w:tmpl w:val="A0F4304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BB073CE"/>
    <w:multiLevelType w:val="hybridMultilevel"/>
    <w:tmpl w:val="A906C25C"/>
    <w:lvl w:ilvl="0" w:tplc="BA804BC4">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B5"/>
    <w:rsid w:val="000356F6"/>
    <w:rsid w:val="00051456"/>
    <w:rsid w:val="000633D3"/>
    <w:rsid w:val="000B07DD"/>
    <w:rsid w:val="000B2215"/>
    <w:rsid w:val="000B225D"/>
    <w:rsid w:val="000B78F7"/>
    <w:rsid w:val="000D6912"/>
    <w:rsid w:val="000F420F"/>
    <w:rsid w:val="001120BC"/>
    <w:rsid w:val="00137DB3"/>
    <w:rsid w:val="00152A63"/>
    <w:rsid w:val="00174038"/>
    <w:rsid w:val="001B199E"/>
    <w:rsid w:val="001C6CB5"/>
    <w:rsid w:val="001D0C2D"/>
    <w:rsid w:val="001E0A41"/>
    <w:rsid w:val="001F522B"/>
    <w:rsid w:val="00202A18"/>
    <w:rsid w:val="00217C39"/>
    <w:rsid w:val="002306DA"/>
    <w:rsid w:val="00230DB2"/>
    <w:rsid w:val="00242F76"/>
    <w:rsid w:val="00255F32"/>
    <w:rsid w:val="0027519D"/>
    <w:rsid w:val="00276335"/>
    <w:rsid w:val="00281C03"/>
    <w:rsid w:val="002B1822"/>
    <w:rsid w:val="002C3170"/>
    <w:rsid w:val="002C7067"/>
    <w:rsid w:val="002D653C"/>
    <w:rsid w:val="002E2041"/>
    <w:rsid w:val="0032381F"/>
    <w:rsid w:val="0034096D"/>
    <w:rsid w:val="003915C3"/>
    <w:rsid w:val="00396CE8"/>
    <w:rsid w:val="003C5557"/>
    <w:rsid w:val="003E6511"/>
    <w:rsid w:val="003F0B8B"/>
    <w:rsid w:val="00421994"/>
    <w:rsid w:val="00450781"/>
    <w:rsid w:val="004544AC"/>
    <w:rsid w:val="004B2C4A"/>
    <w:rsid w:val="004D50E4"/>
    <w:rsid w:val="004F7203"/>
    <w:rsid w:val="005074B5"/>
    <w:rsid w:val="00530FBF"/>
    <w:rsid w:val="005526E1"/>
    <w:rsid w:val="0057156C"/>
    <w:rsid w:val="00580E0C"/>
    <w:rsid w:val="00591746"/>
    <w:rsid w:val="005919AF"/>
    <w:rsid w:val="005935C6"/>
    <w:rsid w:val="005A359A"/>
    <w:rsid w:val="005D1AE2"/>
    <w:rsid w:val="005D7BFA"/>
    <w:rsid w:val="005E41C4"/>
    <w:rsid w:val="0061548B"/>
    <w:rsid w:val="0068075F"/>
    <w:rsid w:val="006C25CC"/>
    <w:rsid w:val="006E50A1"/>
    <w:rsid w:val="006E582C"/>
    <w:rsid w:val="00722526"/>
    <w:rsid w:val="0072337D"/>
    <w:rsid w:val="00737F76"/>
    <w:rsid w:val="00773CE2"/>
    <w:rsid w:val="0077435C"/>
    <w:rsid w:val="00793A61"/>
    <w:rsid w:val="007C1DD7"/>
    <w:rsid w:val="00845F42"/>
    <w:rsid w:val="00866934"/>
    <w:rsid w:val="0087623D"/>
    <w:rsid w:val="00877581"/>
    <w:rsid w:val="00880346"/>
    <w:rsid w:val="008B78A1"/>
    <w:rsid w:val="008F5C7E"/>
    <w:rsid w:val="00921E75"/>
    <w:rsid w:val="00931972"/>
    <w:rsid w:val="0096126E"/>
    <w:rsid w:val="009A0644"/>
    <w:rsid w:val="009D4350"/>
    <w:rsid w:val="00A763CC"/>
    <w:rsid w:val="00AF3011"/>
    <w:rsid w:val="00B13C98"/>
    <w:rsid w:val="00B40E22"/>
    <w:rsid w:val="00B646CF"/>
    <w:rsid w:val="00B8310E"/>
    <w:rsid w:val="00B91877"/>
    <w:rsid w:val="00BA1A9E"/>
    <w:rsid w:val="00BB0C6B"/>
    <w:rsid w:val="00BD6799"/>
    <w:rsid w:val="00C35C61"/>
    <w:rsid w:val="00C5414F"/>
    <w:rsid w:val="00C70AB9"/>
    <w:rsid w:val="00CE1474"/>
    <w:rsid w:val="00CE6F7F"/>
    <w:rsid w:val="00D16ABB"/>
    <w:rsid w:val="00D25CFF"/>
    <w:rsid w:val="00DA5D0D"/>
    <w:rsid w:val="00DC14DC"/>
    <w:rsid w:val="00DC7D01"/>
    <w:rsid w:val="00DE13D7"/>
    <w:rsid w:val="00DE42F5"/>
    <w:rsid w:val="00E02471"/>
    <w:rsid w:val="00E15413"/>
    <w:rsid w:val="00E16A2A"/>
    <w:rsid w:val="00E17157"/>
    <w:rsid w:val="00E2022C"/>
    <w:rsid w:val="00E262C1"/>
    <w:rsid w:val="00E318D7"/>
    <w:rsid w:val="00E43762"/>
    <w:rsid w:val="00E45E72"/>
    <w:rsid w:val="00E508F2"/>
    <w:rsid w:val="00E7738A"/>
    <w:rsid w:val="00EB4E63"/>
    <w:rsid w:val="00EC4720"/>
    <w:rsid w:val="00EC61C3"/>
    <w:rsid w:val="00ED5B0F"/>
    <w:rsid w:val="00F057A9"/>
    <w:rsid w:val="00F22342"/>
    <w:rsid w:val="00F22A41"/>
    <w:rsid w:val="00F86012"/>
    <w:rsid w:val="00F87314"/>
    <w:rsid w:val="00FA6A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A894"/>
  <w15:chartTrackingRefBased/>
  <w15:docId w15:val="{A29CA6A7-FE34-4E0D-8CC3-F2F99A93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B5"/>
    <w:pPr>
      <w:ind w:left="720"/>
    </w:pPr>
    <w:rPr>
      <w:rFonts w:eastAsia="Calibri" w:cs="Times New Roman"/>
    </w:rPr>
  </w:style>
  <w:style w:type="paragraph" w:styleId="Heading2">
    <w:name w:val="heading 2"/>
    <w:basedOn w:val="Normal"/>
    <w:next w:val="Normal"/>
    <w:link w:val="Heading2Char"/>
    <w:uiPriority w:val="9"/>
    <w:unhideWhenUsed/>
    <w:qFormat/>
    <w:rsid w:val="007C1DD7"/>
    <w:pPr>
      <w:suppressAutoHyphens/>
      <w:autoSpaceDE w:val="0"/>
      <w:autoSpaceDN w:val="0"/>
      <w:adjustRightInd w:val="0"/>
      <w:spacing w:before="440" w:after="160"/>
      <w:ind w:right="590" w:hanging="720"/>
      <w:textAlignment w:val="center"/>
      <w:outlineLvl w:val="1"/>
    </w:pPr>
    <w:rPr>
      <w:rFonts w:ascii="Arial Bold" w:eastAsia="Times New Roman" w:hAnsi="Arial Bold" w:cs="Arial"/>
      <w:b/>
      <w:color w:val="000000"/>
      <w:sz w:val="28"/>
      <w:szCs w:val="28"/>
      <w:lang w:eastAsia="en-NZ"/>
    </w:rPr>
  </w:style>
  <w:style w:type="paragraph" w:styleId="Heading3">
    <w:name w:val="heading 3"/>
    <w:basedOn w:val="Normal"/>
    <w:next w:val="Normal"/>
    <w:link w:val="Heading3Char"/>
    <w:uiPriority w:val="9"/>
    <w:unhideWhenUsed/>
    <w:qFormat/>
    <w:rsid w:val="007C1DD7"/>
    <w:pPr>
      <w:spacing w:before="280" w:after="60"/>
      <w:ind w:hanging="720"/>
      <w:outlineLvl w:val="2"/>
    </w:pPr>
    <w:rPr>
      <w:b/>
      <w:sz w:val="26"/>
    </w:rPr>
  </w:style>
  <w:style w:type="paragraph" w:styleId="Heading4">
    <w:name w:val="heading 4"/>
    <w:basedOn w:val="Normal"/>
    <w:next w:val="Normal"/>
    <w:link w:val="Heading4Char"/>
    <w:uiPriority w:val="9"/>
    <w:semiHidden/>
    <w:unhideWhenUsed/>
    <w:qFormat/>
    <w:rsid w:val="00EC61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E262C1"/>
    <w:pPr>
      <w:numPr>
        <w:numId w:val="8"/>
      </w:numPr>
      <w:spacing w:after="40"/>
      <w:ind w:left="1080"/>
    </w:pPr>
    <w:rPr>
      <w:rFonts w:eastAsia="Times New Roman"/>
      <w:lang w:val="en-GB" w:eastAsia="en-AU"/>
    </w:rPr>
  </w:style>
  <w:style w:type="character" w:customStyle="1" w:styleId="ListParagraphChar">
    <w:name w:val="List Paragraph Char"/>
    <w:aliases w:val="List Paragraph numbered Char,List Paragraph1 Char,List Bullet indent Char"/>
    <w:link w:val="ListParagraph"/>
    <w:uiPriority w:val="34"/>
    <w:rsid w:val="00E262C1"/>
    <w:rPr>
      <w:rFonts w:eastAsia="Times New Roman" w:cs="Times New Roman"/>
      <w:lang w:val="en-GB" w:eastAsia="en-AU"/>
    </w:rPr>
  </w:style>
  <w:style w:type="paragraph" w:styleId="Title">
    <w:name w:val="Title"/>
    <w:basedOn w:val="Normal"/>
    <w:next w:val="Normal"/>
    <w:link w:val="TitleChar"/>
    <w:autoRedefine/>
    <w:qFormat/>
    <w:rsid w:val="00242F76"/>
    <w:pPr>
      <w:widowControl w:val="0"/>
      <w:suppressAutoHyphens/>
      <w:autoSpaceDN w:val="0"/>
      <w:spacing w:after="80"/>
      <w:ind w:hanging="720"/>
      <w:textAlignment w:val="baseline"/>
    </w:pPr>
    <w:rPr>
      <w:rFonts w:ascii="Arial Bold" w:eastAsia="SimSun" w:hAnsi="Arial Bold" w:cs="Tahoma"/>
      <w:b/>
      <w:kern w:val="3"/>
      <w:sz w:val="32"/>
      <w:szCs w:val="24"/>
      <w:lang w:val="en-AU" w:eastAsia="zh-CN" w:bidi="hi-IN"/>
    </w:rPr>
  </w:style>
  <w:style w:type="character" w:customStyle="1" w:styleId="TitleChar">
    <w:name w:val="Title Char"/>
    <w:link w:val="Title"/>
    <w:rsid w:val="00242F76"/>
    <w:rPr>
      <w:rFonts w:ascii="Arial Bold" w:eastAsia="SimSun" w:hAnsi="Arial Bold" w:cs="Tahoma"/>
      <w:b/>
      <w:kern w:val="3"/>
      <w:sz w:val="32"/>
      <w:szCs w:val="24"/>
      <w:lang w:val="en-AU" w:eastAsia="zh-CN" w:bidi="hi-IN"/>
    </w:rPr>
  </w:style>
  <w:style w:type="paragraph" w:styleId="NoSpacing">
    <w:name w:val="No Spacing"/>
    <w:aliases w:val="Numbered List"/>
    <w:basedOn w:val="Normal"/>
    <w:uiPriority w:val="1"/>
    <w:qFormat/>
    <w:rsid w:val="00E15413"/>
    <w:pPr>
      <w:spacing w:after="200"/>
      <w:ind w:hanging="720"/>
    </w:pPr>
    <w:rPr>
      <w:rFonts w:cs="Arial"/>
      <w:b/>
      <w:sz w:val="32"/>
      <w:szCs w:val="21"/>
    </w:rPr>
  </w:style>
  <w:style w:type="character" w:customStyle="1" w:styleId="Heading2Char">
    <w:name w:val="Heading 2 Char"/>
    <w:basedOn w:val="DefaultParagraphFont"/>
    <w:link w:val="Heading2"/>
    <w:uiPriority w:val="9"/>
    <w:rsid w:val="007C1DD7"/>
    <w:rPr>
      <w:rFonts w:ascii="Arial Bold" w:eastAsia="Times New Roman" w:hAnsi="Arial Bold" w:cs="Arial"/>
      <w:b/>
      <w:color w:val="000000"/>
      <w:sz w:val="28"/>
      <w:szCs w:val="28"/>
      <w:lang w:eastAsia="en-NZ"/>
    </w:rPr>
  </w:style>
  <w:style w:type="character" w:customStyle="1" w:styleId="Heading3Char">
    <w:name w:val="Heading 3 Char"/>
    <w:basedOn w:val="DefaultParagraphFont"/>
    <w:link w:val="Heading3"/>
    <w:uiPriority w:val="9"/>
    <w:rsid w:val="007C1DD7"/>
    <w:rPr>
      <w:rFonts w:eastAsia="Calibri" w:cs="Times New Roman"/>
      <w:b/>
      <w:sz w:val="26"/>
    </w:rPr>
  </w:style>
  <w:style w:type="paragraph" w:styleId="Header">
    <w:name w:val="header"/>
    <w:next w:val="Normal"/>
    <w:link w:val="HeaderChar"/>
    <w:unhideWhenUsed/>
    <w:rsid w:val="005074B5"/>
    <w:pPr>
      <w:tabs>
        <w:tab w:val="center" w:pos="4513"/>
        <w:tab w:val="right" w:pos="9026"/>
      </w:tabs>
      <w:spacing w:line="240" w:lineRule="auto"/>
    </w:pPr>
    <w:rPr>
      <w:rFonts w:ascii="Calibri" w:eastAsia="Calibri" w:hAnsi="Calibri" w:cs="Times New Roman"/>
      <w:sz w:val="22"/>
    </w:rPr>
  </w:style>
  <w:style w:type="character" w:customStyle="1" w:styleId="HeaderChar">
    <w:name w:val="Header Char"/>
    <w:basedOn w:val="DefaultParagraphFont"/>
    <w:link w:val="Header"/>
    <w:rsid w:val="005074B5"/>
    <w:rPr>
      <w:rFonts w:ascii="Calibri" w:eastAsia="Calibri" w:hAnsi="Calibri" w:cs="Times New Roman"/>
      <w:sz w:val="22"/>
    </w:rPr>
  </w:style>
  <w:style w:type="paragraph" w:styleId="Footer">
    <w:name w:val="footer"/>
    <w:basedOn w:val="Normal"/>
    <w:link w:val="FooterChar"/>
    <w:uiPriority w:val="99"/>
    <w:unhideWhenUsed/>
    <w:rsid w:val="005074B5"/>
    <w:pPr>
      <w:tabs>
        <w:tab w:val="center" w:pos="4513"/>
        <w:tab w:val="right" w:pos="9026"/>
      </w:tabs>
      <w:spacing w:line="240" w:lineRule="auto"/>
    </w:pPr>
  </w:style>
  <w:style w:type="character" w:customStyle="1" w:styleId="FooterChar">
    <w:name w:val="Footer Char"/>
    <w:basedOn w:val="DefaultParagraphFont"/>
    <w:link w:val="Footer"/>
    <w:uiPriority w:val="99"/>
    <w:rsid w:val="005074B5"/>
    <w:rPr>
      <w:rFonts w:eastAsia="Calibri" w:cs="Times New Roman"/>
    </w:rPr>
  </w:style>
  <w:style w:type="character" w:styleId="Hyperlink">
    <w:name w:val="Hyperlink"/>
    <w:basedOn w:val="DefaultParagraphFont"/>
    <w:uiPriority w:val="99"/>
    <w:unhideWhenUsed/>
    <w:rsid w:val="005074B5"/>
    <w:rPr>
      <w:color w:val="0000FF"/>
      <w:u w:val="single"/>
    </w:rPr>
  </w:style>
  <w:style w:type="paragraph" w:customStyle="1" w:styleId="BodyText1">
    <w:name w:val="Body Text1"/>
    <w:basedOn w:val="BodyText"/>
    <w:link w:val="bodytextChar"/>
    <w:qFormat/>
    <w:rsid w:val="00BD6799"/>
    <w:pPr>
      <w:suppressAutoHyphens/>
      <w:autoSpaceDE w:val="0"/>
      <w:autoSpaceDN w:val="0"/>
      <w:adjustRightInd w:val="0"/>
      <w:spacing w:after="0"/>
      <w:ind w:left="0" w:right="588"/>
      <w:textAlignment w:val="center"/>
    </w:pPr>
    <w:rPr>
      <w:rFonts w:eastAsia="Times New Roman" w:cs="Arial"/>
      <w:color w:val="000000"/>
      <w:szCs w:val="28"/>
      <w:lang w:eastAsia="en-NZ"/>
    </w:rPr>
  </w:style>
  <w:style w:type="character" w:customStyle="1" w:styleId="bodytextChar">
    <w:name w:val="body text Char"/>
    <w:basedOn w:val="BodyTextChar0"/>
    <w:link w:val="BodyText1"/>
    <w:rsid w:val="00BD6799"/>
    <w:rPr>
      <w:rFonts w:eastAsia="Times New Roman" w:cs="Arial"/>
      <w:color w:val="000000"/>
      <w:szCs w:val="28"/>
      <w:lang w:eastAsia="en-NZ"/>
    </w:rPr>
  </w:style>
  <w:style w:type="paragraph" w:styleId="BodyText">
    <w:name w:val="Body Text"/>
    <w:basedOn w:val="Normal"/>
    <w:link w:val="BodyTextChar0"/>
    <w:uiPriority w:val="99"/>
    <w:semiHidden/>
    <w:unhideWhenUsed/>
    <w:rsid w:val="00BD6799"/>
    <w:pPr>
      <w:spacing w:after="120"/>
    </w:pPr>
  </w:style>
  <w:style w:type="character" w:customStyle="1" w:styleId="BodyTextChar0">
    <w:name w:val="Body Text Char"/>
    <w:basedOn w:val="DefaultParagraphFont"/>
    <w:link w:val="BodyText"/>
    <w:uiPriority w:val="99"/>
    <w:semiHidden/>
    <w:rsid w:val="00BD6799"/>
    <w:rPr>
      <w:rFonts w:eastAsia="Calibri" w:cs="Times New Roman"/>
    </w:rPr>
  </w:style>
  <w:style w:type="paragraph" w:styleId="BalloonText">
    <w:name w:val="Balloon Text"/>
    <w:basedOn w:val="Normal"/>
    <w:link w:val="BalloonTextChar"/>
    <w:uiPriority w:val="99"/>
    <w:semiHidden/>
    <w:unhideWhenUsed/>
    <w:rsid w:val="000514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6"/>
    <w:rPr>
      <w:rFonts w:ascii="Segoe UI" w:eastAsia="Calibri" w:hAnsi="Segoe UI" w:cs="Segoe UI"/>
      <w:sz w:val="18"/>
      <w:szCs w:val="18"/>
    </w:rPr>
  </w:style>
  <w:style w:type="paragraph" w:styleId="NormalWeb">
    <w:name w:val="Normal (Web)"/>
    <w:basedOn w:val="Normal"/>
    <w:uiPriority w:val="99"/>
    <w:semiHidden/>
    <w:unhideWhenUsed/>
    <w:rsid w:val="0032381F"/>
    <w:pPr>
      <w:spacing w:before="100" w:beforeAutospacing="1" w:after="100" w:afterAutospacing="1" w:line="240" w:lineRule="auto"/>
      <w:ind w:left="0"/>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semiHidden/>
    <w:rsid w:val="00EC61C3"/>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efaultParagraphFont"/>
    <w:uiPriority w:val="99"/>
    <w:semiHidden/>
    <w:unhideWhenUsed/>
    <w:rsid w:val="00773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up.swa.govt.nz/" TargetMode="External"/><Relationship Id="rId3" Type="http://schemas.openxmlformats.org/officeDocument/2006/relationships/settings" Target="settings.xml"/><Relationship Id="rId7" Type="http://schemas.openxmlformats.org/officeDocument/2006/relationships/hyperlink" Target="mailto:rwilkinson@abcnz.org.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vt:lpstr>
    </vt:vector>
  </TitlesOfParts>
  <Company>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subject>Draft Amendment Health and Disabilities Standardl</dc:subject>
  <dc:creator>Rose</dc:creator>
  <cp:keywords/>
  <dc:description/>
  <cp:lastModifiedBy>Amelia Chappell</cp:lastModifiedBy>
  <cp:revision>2</cp:revision>
  <cp:lastPrinted>2021-01-11T03:01:00Z</cp:lastPrinted>
  <dcterms:created xsi:type="dcterms:W3CDTF">2021-02-09T20:07:00Z</dcterms:created>
  <dcterms:modified xsi:type="dcterms:W3CDTF">2021-02-09T20:07:00Z</dcterms:modified>
</cp:coreProperties>
</file>