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5F9" w:rsidRDefault="003547E2" w:rsidP="00DC75E9">
      <w:r>
        <w:t>7 February 2020</w:t>
      </w:r>
    </w:p>
    <w:p w:rsidR="003547E2" w:rsidRDefault="003547E2" w:rsidP="00DC75E9"/>
    <w:p w:rsidR="003547E2" w:rsidRDefault="003547E2" w:rsidP="00DC75E9">
      <w:r>
        <w:t>Mr Rick Hoskin</w:t>
      </w:r>
    </w:p>
    <w:p w:rsidR="003547E2" w:rsidRDefault="003547E2" w:rsidP="00DC75E9">
      <w:r>
        <w:t>Chair</w:t>
      </w:r>
    </w:p>
    <w:p w:rsidR="003547E2" w:rsidRDefault="003547E2" w:rsidP="00DC75E9">
      <w:r>
        <w:t>RNZFB Board</w:t>
      </w:r>
    </w:p>
    <w:p w:rsidR="003547E2" w:rsidRDefault="003547E2" w:rsidP="00DC75E9"/>
    <w:p w:rsidR="003547E2" w:rsidRDefault="003547E2" w:rsidP="00DC75E9">
      <w:r w:rsidRPr="00EE2AEF">
        <w:rPr>
          <w:b/>
        </w:rPr>
        <w:t>Emailed to</w:t>
      </w:r>
      <w:r w:rsidR="00EE2AEF">
        <w:t xml:space="preserve"> </w:t>
      </w:r>
      <w:r w:rsidR="00EE2AEF" w:rsidRPr="00EE2AEF">
        <w:rPr>
          <w:b/>
        </w:rPr>
        <w:t>Chair</w:t>
      </w:r>
      <w:r>
        <w:t>: rhoskin@xtra.co.nz</w:t>
      </w:r>
    </w:p>
    <w:p w:rsidR="003547E2" w:rsidRDefault="003547E2" w:rsidP="00DC75E9"/>
    <w:p w:rsidR="003547E2" w:rsidRDefault="003547E2" w:rsidP="00DC75E9"/>
    <w:p w:rsidR="003547E2" w:rsidRDefault="003547E2" w:rsidP="00DC75E9">
      <w:r>
        <w:t>Dear Rick</w:t>
      </w:r>
    </w:p>
    <w:p w:rsidR="003547E2" w:rsidRDefault="003547E2" w:rsidP="00DC75E9"/>
    <w:p w:rsidR="003547E2" w:rsidRPr="00BD2178" w:rsidRDefault="003547E2" w:rsidP="00DC75E9">
      <w:pPr>
        <w:rPr>
          <w:b/>
        </w:rPr>
      </w:pPr>
      <w:r w:rsidRPr="00BD2178">
        <w:rPr>
          <w:b/>
        </w:rPr>
        <w:t>Re Interim feedback to Strategic Plan Consultation with Consumer Organisations</w:t>
      </w:r>
      <w:r w:rsidR="009F2BD3" w:rsidRPr="00BD2178">
        <w:rPr>
          <w:b/>
        </w:rPr>
        <w:t xml:space="preserve"> // Representation on 15 February 2020</w:t>
      </w:r>
      <w:bookmarkStart w:id="0" w:name="_GoBack"/>
      <w:bookmarkEnd w:id="0"/>
    </w:p>
    <w:p w:rsidR="003547E2" w:rsidRDefault="003547E2" w:rsidP="00DC75E9"/>
    <w:p w:rsidR="003547E2" w:rsidRPr="00DC75E9" w:rsidRDefault="00231B71" w:rsidP="00DC75E9">
      <w:r w:rsidRPr="00DC75E9">
        <w:t xml:space="preserve">The Board of </w:t>
      </w:r>
      <w:r w:rsidR="003547E2" w:rsidRPr="00DC75E9">
        <w:t xml:space="preserve">Blind Citizens NZ values the </w:t>
      </w:r>
      <w:r w:rsidR="0075311D" w:rsidRPr="00DC75E9">
        <w:t xml:space="preserve">importance </w:t>
      </w:r>
      <w:r w:rsidR="001C4275" w:rsidRPr="00DC75E9">
        <w:t xml:space="preserve">the </w:t>
      </w:r>
      <w:r w:rsidR="0075311D" w:rsidRPr="00DC75E9">
        <w:t xml:space="preserve">RNZFB Board is giving to </w:t>
      </w:r>
      <w:r w:rsidR="00405C69" w:rsidRPr="00DC75E9">
        <w:t xml:space="preserve">consulting </w:t>
      </w:r>
      <w:r w:rsidR="003547E2" w:rsidRPr="00DC75E9">
        <w:t xml:space="preserve">with consumer organisations for feedback </w:t>
      </w:r>
      <w:r w:rsidR="00405C69" w:rsidRPr="00DC75E9">
        <w:t>on its next Strategic Plan.</w:t>
      </w:r>
      <w:r w:rsidR="00B255FC" w:rsidRPr="00DC75E9">
        <w:t xml:space="preserve"> The advanced notice, and generous timeframe, while benefitting all stakeholders, has </w:t>
      </w:r>
      <w:r w:rsidR="00550A2E" w:rsidRPr="00DC75E9">
        <w:t xml:space="preserve">for Blind Citizens NZ </w:t>
      </w:r>
      <w:r w:rsidR="00B255FC" w:rsidRPr="00DC75E9">
        <w:t xml:space="preserve">allowed the Board the opportunity to consider </w:t>
      </w:r>
      <w:r w:rsidR="00550A2E" w:rsidRPr="00DC75E9">
        <w:t>at its recent meeting, questions set out in the paper.</w:t>
      </w:r>
      <w:r w:rsidR="000618AD" w:rsidRPr="00DC75E9">
        <w:t xml:space="preserve"> </w:t>
      </w:r>
    </w:p>
    <w:p w:rsidR="00A75127" w:rsidRDefault="00A75127" w:rsidP="00DC75E9"/>
    <w:p w:rsidR="00E21EC8" w:rsidRDefault="00231B71" w:rsidP="00DC75E9">
      <w:r>
        <w:t>With the exception of the first four items, our i</w:t>
      </w:r>
      <w:r w:rsidR="00A75127">
        <w:t xml:space="preserve">nitial feedback </w:t>
      </w:r>
      <w:r w:rsidR="00BB24DC">
        <w:t>to “questions</w:t>
      </w:r>
      <w:r w:rsidR="00177437">
        <w:t>”</w:t>
      </w:r>
      <w:r w:rsidR="00BB24DC">
        <w:t xml:space="preserve"> </w:t>
      </w:r>
      <w:r>
        <w:t>focus</w:t>
      </w:r>
      <w:r w:rsidR="00BB24DC">
        <w:t xml:space="preserve">es </w:t>
      </w:r>
      <w:r w:rsidR="00A75127">
        <w:t xml:space="preserve">on principles, as opposed </w:t>
      </w:r>
      <w:r w:rsidR="00B03548">
        <w:t xml:space="preserve">necessarily </w:t>
      </w:r>
      <w:r w:rsidR="00A75127">
        <w:t xml:space="preserve">to </w:t>
      </w:r>
      <w:r w:rsidR="00BB24DC">
        <w:t xml:space="preserve">a single response to </w:t>
      </w:r>
      <w:r w:rsidR="00A75127">
        <w:t>each question</w:t>
      </w:r>
      <w:r>
        <w:t xml:space="preserve">. </w:t>
      </w:r>
      <w:r w:rsidR="00EC7F42">
        <w:t xml:space="preserve">We emphasise </w:t>
      </w:r>
      <w:r>
        <w:t xml:space="preserve">our feedback </w:t>
      </w:r>
      <w:r w:rsidR="00113F6D">
        <w:t xml:space="preserve">is representative of views shared </w:t>
      </w:r>
      <w:r w:rsidR="00BB24DC">
        <w:t xml:space="preserve">by </w:t>
      </w:r>
      <w:r w:rsidR="00113F6D">
        <w:t xml:space="preserve">individuals from </w:t>
      </w:r>
      <w:r>
        <w:t xml:space="preserve">across </w:t>
      </w:r>
      <w:r w:rsidR="00113F6D">
        <w:t>the blind community</w:t>
      </w:r>
      <w:r w:rsidR="00BB24DC">
        <w:t xml:space="preserve"> over time, including more recently at our 2019 Annual General Meeting and Conference.</w:t>
      </w:r>
      <w:r w:rsidR="00B24A12">
        <w:t xml:space="preserve"> </w:t>
      </w:r>
      <w:r w:rsidR="00E21EC8">
        <w:t>We include a copy of our “Blind Foundation at a Glance” document for your information and reference.</w:t>
      </w:r>
    </w:p>
    <w:p w:rsidR="00E21EC8" w:rsidRDefault="00E21EC8" w:rsidP="00DC75E9"/>
    <w:p w:rsidR="00A75127" w:rsidRDefault="00E21EC8" w:rsidP="00DC75E9">
      <w:r>
        <w:t xml:space="preserve">Please note that </w:t>
      </w:r>
      <w:r w:rsidR="00A44A99">
        <w:t xml:space="preserve">our comments refer to </w:t>
      </w:r>
      <w:r w:rsidR="00B24A12">
        <w:t>individuals</w:t>
      </w:r>
      <w:r>
        <w:t>, service recipients, clients</w:t>
      </w:r>
      <w:r w:rsidR="00B24A12">
        <w:t xml:space="preserve"> </w:t>
      </w:r>
      <w:r w:rsidR="00A44A99">
        <w:t xml:space="preserve">and </w:t>
      </w:r>
      <w:r>
        <w:t>members</w:t>
      </w:r>
      <w:r w:rsidR="00A44A99">
        <w:t xml:space="preserve">. In all circumstances this </w:t>
      </w:r>
      <w:r w:rsidR="00B24A12">
        <w:t>means blind, deafblind, low vision and vision impaired people.</w:t>
      </w:r>
    </w:p>
    <w:p w:rsidR="00550A2E" w:rsidRDefault="00550A2E" w:rsidP="00DC75E9"/>
    <w:p w:rsidR="00994AB7" w:rsidRDefault="000618AD" w:rsidP="00DC75E9">
      <w:pPr>
        <w:ind w:left="720" w:hanging="720"/>
      </w:pPr>
      <w:r>
        <w:rPr>
          <w:b/>
        </w:rPr>
        <w:t>1.</w:t>
      </w:r>
      <w:r>
        <w:rPr>
          <w:b/>
        </w:rPr>
        <w:tab/>
        <w:t xml:space="preserve">Purpose: </w:t>
      </w:r>
      <w:r w:rsidR="00D83830" w:rsidRPr="00D83830">
        <w:t>service delivery</w:t>
      </w:r>
      <w:r w:rsidR="00D83830">
        <w:rPr>
          <w:b/>
        </w:rPr>
        <w:t xml:space="preserve"> </w:t>
      </w:r>
      <w:r w:rsidR="00D83830">
        <w:t xml:space="preserve">is Blind Low Vision NZ’s core business. </w:t>
      </w:r>
      <w:r w:rsidR="00C65A55">
        <w:t xml:space="preserve">In our view, the purpose should </w:t>
      </w:r>
      <w:r w:rsidR="00D83830" w:rsidRPr="00D83830">
        <w:t>speak</w:t>
      </w:r>
      <w:r w:rsidR="00D83830">
        <w:t xml:space="preserve"> to members, </w:t>
      </w:r>
      <w:r w:rsidR="00B23DD1">
        <w:t xml:space="preserve">service users </w:t>
      </w:r>
      <w:r w:rsidR="00D83830">
        <w:t xml:space="preserve">and potential </w:t>
      </w:r>
      <w:r w:rsidR="00B23DD1">
        <w:t xml:space="preserve">service users </w:t>
      </w:r>
      <w:r w:rsidR="00D83830">
        <w:t>in a service delivery context</w:t>
      </w:r>
      <w:r w:rsidR="00C65A55">
        <w:t>.</w:t>
      </w:r>
    </w:p>
    <w:p w:rsidR="00994AB7" w:rsidRDefault="00994AB7" w:rsidP="00DC75E9"/>
    <w:p w:rsidR="00550A2E" w:rsidRDefault="00994AB7" w:rsidP="00DC75E9">
      <w:pPr>
        <w:ind w:left="720" w:hanging="720"/>
      </w:pPr>
      <w:r>
        <w:rPr>
          <w:b/>
        </w:rPr>
        <w:t>2.</w:t>
      </w:r>
      <w:r>
        <w:rPr>
          <w:b/>
        </w:rPr>
        <w:tab/>
        <w:t>Vision:</w:t>
      </w:r>
      <w:r>
        <w:t xml:space="preserve"> </w:t>
      </w:r>
      <w:r w:rsidR="004A0A89">
        <w:t xml:space="preserve">Blind Citizens NZ believes an organisational </w:t>
      </w:r>
      <w:r w:rsidR="00231B71">
        <w:t xml:space="preserve">vision </w:t>
      </w:r>
      <w:r w:rsidR="00C10064">
        <w:t>should be meaningful</w:t>
      </w:r>
      <w:r w:rsidR="004A0A89">
        <w:t xml:space="preserve">. For Blind Low Vision NZ, this should </w:t>
      </w:r>
      <w:r w:rsidR="00C10064">
        <w:t xml:space="preserve">inspire service recipients </w:t>
      </w:r>
      <w:r w:rsidR="004A0A89">
        <w:t xml:space="preserve">(clients), </w:t>
      </w:r>
      <w:r w:rsidR="00C10064">
        <w:t xml:space="preserve">to aspire to reach their potential. </w:t>
      </w:r>
    </w:p>
    <w:p w:rsidR="00B23DD1" w:rsidRPr="00231B71" w:rsidRDefault="00B23DD1" w:rsidP="00DC75E9">
      <w:pPr>
        <w:ind w:left="720" w:hanging="720"/>
      </w:pPr>
      <w:r>
        <w:rPr>
          <w:b/>
        </w:rPr>
        <w:lastRenderedPageBreak/>
        <w:t>3.</w:t>
      </w:r>
      <w:r>
        <w:rPr>
          <w:b/>
        </w:rPr>
        <w:tab/>
        <w:t>Key Priorities</w:t>
      </w:r>
      <w:r w:rsidR="00231B71">
        <w:rPr>
          <w:b/>
        </w:rPr>
        <w:t>:</w:t>
      </w:r>
      <w:r w:rsidR="00231B71">
        <w:t xml:space="preserve"> </w:t>
      </w:r>
      <w:r w:rsidR="004A0A89">
        <w:t>we believe the current priorities</w:t>
      </w:r>
      <w:r w:rsidR="00BB24DC">
        <w:t xml:space="preserve"> may be relevant. However, they are so </w:t>
      </w:r>
      <w:r w:rsidR="004A0A89">
        <w:t>brief, to the point they lack clarity and meaning</w:t>
      </w:r>
      <w:r w:rsidR="00C65A55">
        <w:t xml:space="preserve"> to anyone</w:t>
      </w:r>
      <w:r w:rsidR="00BB24DC">
        <w:t>.</w:t>
      </w:r>
    </w:p>
    <w:p w:rsidR="00B23DD1" w:rsidRDefault="00B23DD1" w:rsidP="00DC75E9">
      <w:pPr>
        <w:ind w:left="720" w:hanging="720"/>
      </w:pPr>
    </w:p>
    <w:p w:rsidR="00E21EC8" w:rsidRDefault="00B23DD1" w:rsidP="00DC75E9">
      <w:pPr>
        <w:ind w:left="720" w:hanging="720"/>
      </w:pPr>
      <w:r>
        <w:rPr>
          <w:b/>
        </w:rPr>
        <w:t>4.</w:t>
      </w:r>
      <w:r>
        <w:rPr>
          <w:b/>
        </w:rPr>
        <w:tab/>
        <w:t>Values:</w:t>
      </w:r>
      <w:r w:rsidR="004A0A89">
        <w:t xml:space="preserve"> </w:t>
      </w:r>
      <w:r w:rsidR="00BB24DC">
        <w:t xml:space="preserve">Blind Citizens NZ is hard-pushed to comment on whether the current values remain suitable, simply because many perceive these as just “words”. There must be context and clarity around the values – it must be clear whether these are about the organisation, or are they for service recipients (clients). </w:t>
      </w:r>
      <w:r w:rsidR="00E21EC8">
        <w:t xml:space="preserve">There is an opportunity to have values that </w:t>
      </w:r>
      <w:r w:rsidR="00525526">
        <w:t>resonate</w:t>
      </w:r>
      <w:r w:rsidR="00E21EC8">
        <w:t xml:space="preserve"> with members e.g. braille is a primary literacy.</w:t>
      </w:r>
    </w:p>
    <w:p w:rsidR="00550A2E" w:rsidRDefault="00550A2E" w:rsidP="00DC75E9">
      <w:pPr>
        <w:ind w:left="720" w:hanging="720"/>
      </w:pPr>
    </w:p>
    <w:p w:rsidR="00BB24DC" w:rsidRDefault="00BB24DC" w:rsidP="00DC75E9">
      <w:pPr>
        <w:ind w:left="720" w:hanging="720"/>
      </w:pPr>
      <w:r>
        <w:rPr>
          <w:b/>
        </w:rPr>
        <w:t>5.</w:t>
      </w:r>
      <w:r>
        <w:rPr>
          <w:b/>
        </w:rPr>
        <w:tab/>
        <w:t>Overarching comments</w:t>
      </w:r>
      <w:r>
        <w:t xml:space="preserve">: as indicated earlier in our response, </w:t>
      </w:r>
      <w:r w:rsidR="00CF1D64">
        <w:t xml:space="preserve">Blind Citizens NZ </w:t>
      </w:r>
      <w:r w:rsidR="00EE2AEF">
        <w:t xml:space="preserve">offers these </w:t>
      </w:r>
      <w:r w:rsidR="00CF1D64">
        <w:t>comments:</w:t>
      </w:r>
    </w:p>
    <w:p w:rsidR="00B13A8C" w:rsidRDefault="00B13A8C" w:rsidP="00DC75E9"/>
    <w:p w:rsidR="000779DF" w:rsidRDefault="00133C97" w:rsidP="00DC75E9">
      <w:pPr>
        <w:ind w:left="720" w:hanging="720"/>
      </w:pPr>
      <w:r>
        <w:rPr>
          <w:b/>
        </w:rPr>
        <w:t>5.1</w:t>
      </w:r>
      <w:r>
        <w:rPr>
          <w:b/>
        </w:rPr>
        <w:tab/>
      </w:r>
      <w:r w:rsidR="000779DF">
        <w:t xml:space="preserve">The term “client” when introduced, received strong opposition from the very people to whom this applies. The new strategic plan offers an opportunity to reconsider </w:t>
      </w:r>
      <w:r>
        <w:t xml:space="preserve">and replace </w:t>
      </w:r>
      <w:r w:rsidR="000779DF">
        <w:t>the current term</w:t>
      </w:r>
      <w:r>
        <w:t xml:space="preserve"> </w:t>
      </w:r>
      <w:r w:rsidR="000779DF">
        <w:t xml:space="preserve">with one </w:t>
      </w:r>
      <w:r w:rsidR="00B13A8C">
        <w:t xml:space="preserve">that </w:t>
      </w:r>
      <w:r>
        <w:t xml:space="preserve">individuals </w:t>
      </w:r>
      <w:r w:rsidR="00B13A8C">
        <w:t xml:space="preserve">find less offensive. Terms </w:t>
      </w:r>
      <w:r w:rsidR="000779DF">
        <w:t>such as “service recipient”</w:t>
      </w:r>
      <w:r w:rsidR="00B13A8C">
        <w:t xml:space="preserve">, </w:t>
      </w:r>
      <w:r w:rsidR="000779DF">
        <w:t>“service user”</w:t>
      </w:r>
      <w:r w:rsidR="00B13A8C">
        <w:t xml:space="preserve"> are amongst those used by person-centred service providers.</w:t>
      </w:r>
    </w:p>
    <w:p w:rsidR="00A44A99" w:rsidRDefault="00A44A99" w:rsidP="00DC75E9"/>
    <w:p w:rsidR="00EE2AEF" w:rsidRDefault="00133C97" w:rsidP="00DC75E9">
      <w:r>
        <w:rPr>
          <w:b/>
        </w:rPr>
        <w:t>5.2</w:t>
      </w:r>
      <w:r>
        <w:rPr>
          <w:b/>
        </w:rPr>
        <w:tab/>
      </w:r>
      <w:r w:rsidR="000779DF">
        <w:t>All services delivered by Blind Low Vision NZ must be</w:t>
      </w:r>
      <w:r w:rsidR="00EE2AEF">
        <w:t>:</w:t>
      </w:r>
    </w:p>
    <w:p w:rsidR="00B429EE" w:rsidRDefault="00B429EE" w:rsidP="00DC75E9">
      <w:pPr>
        <w:pStyle w:val="bullet1last"/>
        <w:ind w:left="1071"/>
      </w:pPr>
      <w:r>
        <w:t>co-designed and involve Blind Citizens and other blindness consumer organisations;</w:t>
      </w:r>
    </w:p>
    <w:p w:rsidR="00EE2AEF" w:rsidRDefault="000779DF" w:rsidP="00DC75E9">
      <w:pPr>
        <w:pStyle w:val="bullet1last"/>
        <w:ind w:left="1071"/>
      </w:pPr>
      <w:r>
        <w:t>fit for purpose</w:t>
      </w:r>
      <w:r w:rsidR="00EE2AEF">
        <w:t>;</w:t>
      </w:r>
    </w:p>
    <w:p w:rsidR="00EE2AEF" w:rsidRDefault="00D26DDE" w:rsidP="00DC75E9">
      <w:pPr>
        <w:pStyle w:val="bullet1last"/>
        <w:ind w:left="1071"/>
      </w:pPr>
      <w:r>
        <w:t>nationally consistent</w:t>
      </w:r>
      <w:r w:rsidR="00EE2AEF">
        <w:t>;</w:t>
      </w:r>
      <w:r w:rsidR="00EC7F42">
        <w:t xml:space="preserve"> </w:t>
      </w:r>
    </w:p>
    <w:p w:rsidR="001030A8" w:rsidRDefault="000779DF" w:rsidP="00DC75E9">
      <w:pPr>
        <w:pStyle w:val="bullet1last"/>
        <w:ind w:left="1071"/>
      </w:pPr>
      <w:r>
        <w:t>meet the needs and expectations of the recipient</w:t>
      </w:r>
      <w:r w:rsidR="001030A8">
        <w:t>; and</w:t>
      </w:r>
    </w:p>
    <w:p w:rsidR="00EE2AEF" w:rsidRDefault="001030A8" w:rsidP="00DC75E9">
      <w:pPr>
        <w:pStyle w:val="bullet1last"/>
        <w:spacing w:after="200"/>
        <w:ind w:left="1071"/>
      </w:pPr>
      <w:r>
        <w:t>ensure the health and safety of both the member and employee, especially when a service is delivered in a less structured environment / setting.</w:t>
      </w:r>
    </w:p>
    <w:p w:rsidR="0022138E" w:rsidRDefault="00EE2AEF" w:rsidP="00DC75E9">
      <w:pPr>
        <w:spacing w:after="200"/>
        <w:ind w:left="720" w:hanging="720"/>
      </w:pPr>
      <w:r>
        <w:rPr>
          <w:b/>
        </w:rPr>
        <w:t>5.3</w:t>
      </w:r>
      <w:r>
        <w:rPr>
          <w:b/>
        </w:rPr>
        <w:tab/>
      </w:r>
      <w:r w:rsidR="00D26DDE">
        <w:t>Blind Low Vision NZ has a role to play in all blindness-related services, including ensuring these are of the highest quality.</w:t>
      </w:r>
      <w:r w:rsidR="00EC7F42">
        <w:t xml:space="preserve"> </w:t>
      </w:r>
    </w:p>
    <w:p w:rsidR="00DA6FEF" w:rsidRDefault="004C383E" w:rsidP="00DC75E9">
      <w:pPr>
        <w:ind w:left="720" w:hanging="720"/>
      </w:pPr>
      <w:r>
        <w:rPr>
          <w:b/>
        </w:rPr>
        <w:t>5.4</w:t>
      </w:r>
      <w:r>
        <w:rPr>
          <w:b/>
        </w:rPr>
        <w:tab/>
      </w:r>
      <w:r w:rsidR="00DA6FEF">
        <w:t>The collection of data and evidence with respect to measuring service delivery is in our view, paramount. There must be:</w:t>
      </w:r>
    </w:p>
    <w:p w:rsidR="00DA6FEF" w:rsidRPr="00DC75E9" w:rsidRDefault="00DA6FEF" w:rsidP="00DC75E9">
      <w:pPr>
        <w:pStyle w:val="bullet1last"/>
        <w:ind w:left="1071"/>
      </w:pPr>
      <w:r w:rsidRPr="00DC75E9">
        <w:t>evidence, when p</w:t>
      </w:r>
      <w:r w:rsidR="00D26DDE" w:rsidRPr="00DC75E9">
        <w:t xml:space="preserve">ublicised statements </w:t>
      </w:r>
      <w:r w:rsidRPr="00DC75E9">
        <w:t>that comment on an increase in services reaching more people, reduction in wait-times, positivity about quality etc., through feedback and comments from members;</w:t>
      </w:r>
    </w:p>
    <w:p w:rsidR="00DA6FEF" w:rsidRPr="00DC75E9" w:rsidRDefault="00DA6FEF" w:rsidP="00DC75E9">
      <w:pPr>
        <w:pStyle w:val="bullet1last"/>
        <w:ind w:left="1071"/>
      </w:pPr>
      <w:r w:rsidRPr="00DC75E9">
        <w:t>a system to record when “unmet need” is identified, and how this has been resolved;</w:t>
      </w:r>
    </w:p>
    <w:p w:rsidR="00DA6FEF" w:rsidRPr="00DC75E9" w:rsidRDefault="004E0ECC" w:rsidP="00DC75E9">
      <w:pPr>
        <w:pStyle w:val="bullet1last"/>
        <w:spacing w:after="200"/>
        <w:ind w:left="1071"/>
      </w:pPr>
      <w:r w:rsidRPr="00DC75E9">
        <w:t>systems in place to measure sustainability of maintaining improved service delivery.</w:t>
      </w:r>
    </w:p>
    <w:p w:rsidR="00133C97" w:rsidRDefault="004C383E" w:rsidP="00DC75E9">
      <w:pPr>
        <w:spacing w:after="200"/>
        <w:ind w:left="720" w:hanging="720"/>
      </w:pPr>
      <w:r w:rsidRPr="00E21EC8">
        <w:rPr>
          <w:b/>
        </w:rPr>
        <w:lastRenderedPageBreak/>
        <w:t>5.5</w:t>
      </w:r>
      <w:r>
        <w:rPr>
          <w:b/>
        </w:rPr>
        <w:tab/>
      </w:r>
      <w:r w:rsidR="004E0ECC">
        <w:t xml:space="preserve">Blind Low Vision NZ is </w:t>
      </w:r>
      <w:r w:rsidR="00133C97">
        <w:t xml:space="preserve">committed to </w:t>
      </w:r>
      <w:r w:rsidR="004E0ECC">
        <w:t>provid</w:t>
      </w:r>
      <w:r w:rsidR="00133C97">
        <w:t>ing</w:t>
      </w:r>
      <w:r w:rsidR="004E0ECC">
        <w:t xml:space="preserve"> timely, quality services that meet the needs of members who quali</w:t>
      </w:r>
      <w:r w:rsidR="00B24A12">
        <w:t>f</w:t>
      </w:r>
      <w:r w:rsidR="004E0ECC">
        <w:t>y for registration based on current (6/24) criteria.</w:t>
      </w:r>
      <w:r w:rsidR="003943B6">
        <w:t xml:space="preserve"> </w:t>
      </w:r>
      <w:r>
        <w:t xml:space="preserve">Members need, and want an assurance that </w:t>
      </w:r>
      <w:r w:rsidR="00B24A12">
        <w:t xml:space="preserve">if there is a move to broaden </w:t>
      </w:r>
      <w:r w:rsidR="00133C97">
        <w:t>service-delivery criteria</w:t>
      </w:r>
      <w:r w:rsidR="00B24A12">
        <w:t xml:space="preserve">, </w:t>
      </w:r>
      <w:r w:rsidR="00133C97">
        <w:t xml:space="preserve">there must be evidence that </w:t>
      </w:r>
      <w:r w:rsidR="003943B6">
        <w:t>waiting lists</w:t>
      </w:r>
      <w:r w:rsidR="00133C97">
        <w:t xml:space="preserve"> are </w:t>
      </w:r>
      <w:r>
        <w:t xml:space="preserve">essentially </w:t>
      </w:r>
      <w:r w:rsidR="00133C97">
        <w:t>non-existent</w:t>
      </w:r>
      <w:r w:rsidR="00B24A12">
        <w:t xml:space="preserve">. Evidence must also support that </w:t>
      </w:r>
      <w:r w:rsidR="003943B6">
        <w:t>members are receiving timely</w:t>
      </w:r>
      <w:r w:rsidR="00133C97">
        <w:t xml:space="preserve">, quality </w:t>
      </w:r>
      <w:r w:rsidR="003943B6">
        <w:t>services</w:t>
      </w:r>
      <w:r w:rsidR="00133C97">
        <w:t xml:space="preserve"> that meet their needs.</w:t>
      </w:r>
      <w:r>
        <w:t xml:space="preserve"> This must be sustainable, and broadening </w:t>
      </w:r>
      <w:r w:rsidR="005C0DAC">
        <w:t xml:space="preserve">the </w:t>
      </w:r>
      <w:r>
        <w:t>service registration criteria must not be to the detriment of members who meet current criteria.</w:t>
      </w:r>
    </w:p>
    <w:p w:rsidR="004C383E" w:rsidRDefault="004C383E" w:rsidP="00DC75E9">
      <w:pPr>
        <w:spacing w:after="200"/>
        <w:ind w:left="720" w:hanging="720"/>
      </w:pPr>
      <w:r>
        <w:rPr>
          <w:b/>
        </w:rPr>
        <w:t>5.6</w:t>
      </w:r>
      <w:r>
        <w:rPr>
          <w:b/>
        </w:rPr>
        <w:tab/>
      </w:r>
      <w:r w:rsidRPr="004C383E">
        <w:t>Members</w:t>
      </w:r>
      <w:r>
        <w:rPr>
          <w:b/>
        </w:rPr>
        <w:t xml:space="preserve"> </w:t>
      </w:r>
      <w:r>
        <w:t xml:space="preserve">can only live a life without limits, if they actually receive services that will make a difference </w:t>
      </w:r>
      <w:r w:rsidR="005C0DAC">
        <w:t xml:space="preserve">for </w:t>
      </w:r>
      <w:r>
        <w:t xml:space="preserve">them. Blind Low Vision NZ must ensure </w:t>
      </w:r>
      <w:r w:rsidR="00177437">
        <w:t xml:space="preserve">there is a mechanism to inform </w:t>
      </w:r>
      <w:r>
        <w:t xml:space="preserve">members about the full suite of </w:t>
      </w:r>
      <w:r w:rsidR="00177437">
        <w:t xml:space="preserve">its </w:t>
      </w:r>
      <w:r>
        <w:t>services, and the benefits</w:t>
      </w:r>
      <w:r w:rsidR="00177437">
        <w:t>. We venture to include here the role consumer organisations can and do play in this regard.</w:t>
      </w:r>
      <w:r w:rsidR="005C0DAC">
        <w:t xml:space="preserve"> </w:t>
      </w:r>
    </w:p>
    <w:p w:rsidR="005C0DAC" w:rsidRDefault="005C0DAC" w:rsidP="00DC75E9">
      <w:pPr>
        <w:spacing w:after="200"/>
        <w:ind w:left="720" w:hanging="720"/>
      </w:pPr>
      <w:r>
        <w:rPr>
          <w:b/>
        </w:rPr>
        <w:t>5.7</w:t>
      </w:r>
      <w:r>
        <w:rPr>
          <w:b/>
        </w:rPr>
        <w:tab/>
      </w:r>
      <w:r>
        <w:t>Blind Low Vision NZ must maintain currency with new and emerging technologies that benefit members. When technology and/or equipment is proven internationally as both accessible to</w:t>
      </w:r>
      <w:r w:rsidR="00B24A12">
        <w:t>,</w:t>
      </w:r>
      <w:r>
        <w:t xml:space="preserve"> and usable by members, information, devices and training should be readily available and promoted. Service users should be utilised (as opposed to staff personnel), when new products are being trialled. </w:t>
      </w:r>
    </w:p>
    <w:p w:rsidR="00B03548" w:rsidRPr="00EC7F42" w:rsidRDefault="00EC7F42" w:rsidP="00DC75E9">
      <w:pPr>
        <w:ind w:left="720" w:hanging="720"/>
      </w:pPr>
      <w:r>
        <w:rPr>
          <w:b/>
        </w:rPr>
        <w:t>5.8</w:t>
      </w:r>
      <w:r>
        <w:rPr>
          <w:b/>
        </w:rPr>
        <w:tab/>
      </w:r>
      <w:r>
        <w:t>Blind Low Vision NZ</w:t>
      </w:r>
      <w:r w:rsidR="00B03548">
        <w:t xml:space="preserve"> has a role in the area of </w:t>
      </w:r>
      <w:r>
        <w:t>employment service</w:t>
      </w:r>
      <w:r w:rsidR="001030A8">
        <w:t>s</w:t>
      </w:r>
      <w:r w:rsidR="00B03548">
        <w:t xml:space="preserve"> such as transition, pre-employment skills, employment support/retention, and internships.</w:t>
      </w:r>
    </w:p>
    <w:p w:rsidR="00EC7F42" w:rsidRDefault="00EC7F42" w:rsidP="00DC75E9"/>
    <w:p w:rsidR="00EC7F42" w:rsidRDefault="00EC7F42" w:rsidP="00DC75E9"/>
    <w:p w:rsidR="00EC7F42" w:rsidRDefault="00EC7F42" w:rsidP="00DC75E9">
      <w:r>
        <w:t>Blind Citizens NZ looks forward to providing further comment</w:t>
      </w:r>
      <w:r w:rsidR="00B03548">
        <w:t xml:space="preserve"> and input</w:t>
      </w:r>
      <w:r>
        <w:t xml:space="preserve"> during the opportunity afforded consumer organisations on Saturday 15 February. There will be two representatives attending on this occasion – the National President Jonathan Godfrey, and Chief Executive Rose Wilkinson.</w:t>
      </w:r>
    </w:p>
    <w:p w:rsidR="00EC7F42" w:rsidRPr="00DC75E9" w:rsidRDefault="00EC7F42" w:rsidP="00DC75E9">
      <w:pPr>
        <w:rPr>
          <w:sz w:val="20"/>
        </w:rPr>
      </w:pPr>
    </w:p>
    <w:p w:rsidR="00EC7F42" w:rsidRPr="00DC75E9" w:rsidRDefault="00EC7F42" w:rsidP="00DC75E9">
      <w:pPr>
        <w:rPr>
          <w:sz w:val="20"/>
        </w:rPr>
      </w:pPr>
    </w:p>
    <w:p w:rsidR="009F2BD3" w:rsidRDefault="009F2BD3" w:rsidP="00DC75E9">
      <w:r>
        <w:t>Yours sincerely</w:t>
      </w:r>
    </w:p>
    <w:p w:rsidR="009F2BD3" w:rsidRPr="00DC75E9" w:rsidRDefault="009F2BD3" w:rsidP="00DC75E9">
      <w:pPr>
        <w:rPr>
          <w:sz w:val="20"/>
        </w:rPr>
      </w:pPr>
    </w:p>
    <w:p w:rsidR="009F2BD3" w:rsidRDefault="00DC75E9" w:rsidP="00DC75E9">
      <w:r w:rsidRPr="00800CED">
        <w:rPr>
          <w:noProof/>
          <w:lang w:val="en-GB" w:eastAsia="en-GB"/>
        </w:rPr>
        <w:drawing>
          <wp:inline distT="0" distB="0" distL="0" distR="0" wp14:anchorId="4DF3A8E4" wp14:editId="17A300E8">
            <wp:extent cx="21907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BD3" w:rsidRDefault="009F2BD3" w:rsidP="00DC75E9">
      <w:r>
        <w:t>Rose Wilkinson</w:t>
      </w:r>
    </w:p>
    <w:p w:rsidR="009F2BD3" w:rsidRDefault="009F2BD3" w:rsidP="00DC75E9">
      <w:r w:rsidRPr="009F2BD3">
        <w:t>Chief Executive</w:t>
      </w:r>
    </w:p>
    <w:p w:rsidR="009F2BD3" w:rsidRDefault="009F2BD3" w:rsidP="00DC75E9"/>
    <w:p w:rsidR="009F2BD3" w:rsidRDefault="009F2BD3" w:rsidP="00DC75E9">
      <w:r>
        <w:rPr>
          <w:b/>
        </w:rPr>
        <w:t>CC</w:t>
      </w:r>
      <w:r>
        <w:rPr>
          <w:b/>
        </w:rPr>
        <w:tab/>
      </w:r>
      <w:r>
        <w:t>Jane Alison Moore</w:t>
      </w:r>
      <w:r w:rsidR="00E21EC8">
        <w:t xml:space="preserve"> Board Secretary:</w:t>
      </w:r>
      <w:r w:rsidR="00A44A99">
        <w:t xml:space="preserve"> jamoore</w:t>
      </w:r>
      <w:r w:rsidR="00E21EC8">
        <w:t>@blindlowvision.org.nz</w:t>
      </w:r>
    </w:p>
    <w:p w:rsidR="009F2BD3" w:rsidRPr="009F2BD3" w:rsidRDefault="00E21EC8" w:rsidP="00DC75E9">
      <w:pPr>
        <w:ind w:left="720"/>
      </w:pPr>
      <w:r>
        <w:t>John Mulka Chief Executive: jmulka@blindlowvision.org.nz</w:t>
      </w:r>
    </w:p>
    <w:sectPr w:rsidR="009F2BD3" w:rsidRPr="009F2BD3" w:rsidSect="000A62A8">
      <w:headerReference w:type="first" r:id="rId9"/>
      <w:footerReference w:type="first" r:id="rId10"/>
      <w:pgSz w:w="11906" w:h="16838"/>
      <w:pgMar w:top="1134" w:right="425" w:bottom="851" w:left="851" w:header="709" w:footer="1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684" w:rsidRDefault="009B1684" w:rsidP="00DC75E9">
      <w:r>
        <w:separator/>
      </w:r>
    </w:p>
  </w:endnote>
  <w:endnote w:type="continuationSeparator" w:id="0">
    <w:p w:rsidR="009B1684" w:rsidRDefault="009B1684" w:rsidP="00DC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3CE" w:rsidRDefault="00E113CE" w:rsidP="00DC75E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492016</wp:posOffset>
          </wp:positionH>
          <wp:positionV relativeFrom="page">
            <wp:posOffset>9932276</wp:posOffset>
          </wp:positionV>
          <wp:extent cx="6886246" cy="586372"/>
          <wp:effectExtent l="19050" t="0" r="0" b="0"/>
          <wp:wrapNone/>
          <wp:docPr id="6" name="Picture 5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5432" cy="586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684" w:rsidRDefault="009B1684" w:rsidP="00DC75E9">
      <w:r>
        <w:separator/>
      </w:r>
    </w:p>
  </w:footnote>
  <w:footnote w:type="continuationSeparator" w:id="0">
    <w:p w:rsidR="009B1684" w:rsidRDefault="009B1684" w:rsidP="00DC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3CE" w:rsidRPr="00B245F9" w:rsidRDefault="00E113CE">
    <w:pPr>
      <w:pStyle w:val="Header"/>
      <w:rPr>
        <w:sz w:val="32"/>
        <w:szCs w:val="32"/>
      </w:rPr>
    </w:pPr>
    <w:r w:rsidRPr="00B245F9">
      <w:rPr>
        <w:noProof/>
        <w:sz w:val="32"/>
        <w:szCs w:val="32"/>
        <w:lang w:val="en-GB"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2291825</wp:posOffset>
          </wp:positionH>
          <wp:positionV relativeFrom="page">
            <wp:posOffset>173420</wp:posOffset>
          </wp:positionV>
          <wp:extent cx="5088978" cy="1765738"/>
          <wp:effectExtent l="19050" t="0" r="0" b="0"/>
          <wp:wrapNone/>
          <wp:docPr id="4" name="Picture 2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8978" cy="1765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0D69"/>
    <w:multiLevelType w:val="hybridMultilevel"/>
    <w:tmpl w:val="6610EF16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D7D31"/>
    <w:multiLevelType w:val="hybridMultilevel"/>
    <w:tmpl w:val="D6CC0F18"/>
    <w:lvl w:ilvl="0" w:tplc="5108103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B3759"/>
    <w:multiLevelType w:val="multilevel"/>
    <w:tmpl w:val="02CA6A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2.%3.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FF06760"/>
    <w:multiLevelType w:val="hybridMultilevel"/>
    <w:tmpl w:val="43D6FF2E"/>
    <w:lvl w:ilvl="0" w:tplc="6DCE1072">
      <w:start w:val="1"/>
      <w:numFmt w:val="lowerRoman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2584"/>
    <w:multiLevelType w:val="hybridMultilevel"/>
    <w:tmpl w:val="059EDED6"/>
    <w:lvl w:ilvl="0" w:tplc="4788830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A512B"/>
    <w:multiLevelType w:val="hybridMultilevel"/>
    <w:tmpl w:val="6A2A36A0"/>
    <w:lvl w:ilvl="0" w:tplc="1409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291B35BB"/>
    <w:multiLevelType w:val="hybridMultilevel"/>
    <w:tmpl w:val="0116E2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D2994"/>
    <w:multiLevelType w:val="hybridMultilevel"/>
    <w:tmpl w:val="8586DD1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B4EEF"/>
    <w:multiLevelType w:val="hybridMultilevel"/>
    <w:tmpl w:val="FDE24F6E"/>
    <w:lvl w:ilvl="0" w:tplc="B05AFE58">
      <w:start w:val="1"/>
      <w:numFmt w:val="bullet"/>
      <w:pStyle w:val="BulletPoint-square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0179AB"/>
    <w:multiLevelType w:val="hybridMultilevel"/>
    <w:tmpl w:val="CE7615E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3819F7"/>
    <w:multiLevelType w:val="hybridMultilevel"/>
    <w:tmpl w:val="B812FB70"/>
    <w:lvl w:ilvl="0" w:tplc="80C0AE28">
      <w:start w:val="1"/>
      <w:numFmt w:val="bullet"/>
      <w:pStyle w:val="bullet1las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3EF15A3A"/>
    <w:multiLevelType w:val="hybridMultilevel"/>
    <w:tmpl w:val="A876487C"/>
    <w:lvl w:ilvl="0" w:tplc="AF32B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250931"/>
    <w:multiLevelType w:val="hybridMultilevel"/>
    <w:tmpl w:val="81503E6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877BF2"/>
    <w:multiLevelType w:val="multilevel"/>
    <w:tmpl w:val="E2F8ED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EC7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766F26"/>
    <w:multiLevelType w:val="hybridMultilevel"/>
    <w:tmpl w:val="8D92B556"/>
    <w:lvl w:ilvl="0" w:tplc="1194D6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B67AA8"/>
    <w:multiLevelType w:val="hybridMultilevel"/>
    <w:tmpl w:val="02BC2A52"/>
    <w:lvl w:ilvl="0" w:tplc="97AAD006">
      <w:start w:val="8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011D9"/>
    <w:multiLevelType w:val="hybridMultilevel"/>
    <w:tmpl w:val="FC04C45C"/>
    <w:lvl w:ilvl="0" w:tplc="4362591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32747"/>
    <w:multiLevelType w:val="hybridMultilevel"/>
    <w:tmpl w:val="EE2E127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544BA1"/>
    <w:multiLevelType w:val="hybridMultilevel"/>
    <w:tmpl w:val="4296FE1E"/>
    <w:lvl w:ilvl="0" w:tplc="F0E8B96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1"/>
  </w:num>
  <w:num w:numId="5">
    <w:abstractNumId w:val="13"/>
  </w:num>
  <w:num w:numId="6">
    <w:abstractNumId w:val="13"/>
  </w:num>
  <w:num w:numId="7">
    <w:abstractNumId w:val="13"/>
  </w:num>
  <w:num w:numId="8">
    <w:abstractNumId w:val="16"/>
  </w:num>
  <w:num w:numId="9">
    <w:abstractNumId w:val="14"/>
  </w:num>
  <w:num w:numId="10">
    <w:abstractNumId w:val="3"/>
  </w:num>
  <w:num w:numId="11">
    <w:abstractNumId w:val="11"/>
  </w:num>
  <w:num w:numId="12">
    <w:abstractNumId w:val="13"/>
  </w:num>
  <w:num w:numId="13">
    <w:abstractNumId w:val="13"/>
  </w:num>
  <w:num w:numId="14">
    <w:abstractNumId w:val="13"/>
  </w:num>
  <w:num w:numId="15">
    <w:abstractNumId w:val="2"/>
  </w:num>
  <w:num w:numId="16">
    <w:abstractNumId w:val="6"/>
  </w:num>
  <w:num w:numId="17">
    <w:abstractNumId w:val="7"/>
  </w:num>
  <w:num w:numId="18">
    <w:abstractNumId w:val="5"/>
  </w:num>
  <w:num w:numId="19">
    <w:abstractNumId w:val="9"/>
  </w:num>
  <w:num w:numId="20">
    <w:abstractNumId w:val="12"/>
  </w:num>
  <w:num w:numId="21">
    <w:abstractNumId w:val="0"/>
  </w:num>
  <w:num w:numId="22">
    <w:abstractNumId w:val="17"/>
  </w:num>
  <w:num w:numId="23">
    <w:abstractNumId w:val="15"/>
  </w:num>
  <w:num w:numId="24">
    <w:abstractNumId w:val="4"/>
  </w:num>
  <w:num w:numId="25">
    <w:abstractNumId w:val="1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69"/>
    <w:rsid w:val="00000F88"/>
    <w:rsid w:val="000618AD"/>
    <w:rsid w:val="00064FCD"/>
    <w:rsid w:val="00075AD6"/>
    <w:rsid w:val="000779DF"/>
    <w:rsid w:val="00080FB0"/>
    <w:rsid w:val="000A62A8"/>
    <w:rsid w:val="001030A8"/>
    <w:rsid w:val="00113F6D"/>
    <w:rsid w:val="00133C97"/>
    <w:rsid w:val="00177437"/>
    <w:rsid w:val="001B3BD5"/>
    <w:rsid w:val="001C4275"/>
    <w:rsid w:val="002106D6"/>
    <w:rsid w:val="0022138E"/>
    <w:rsid w:val="00231B71"/>
    <w:rsid w:val="0025111F"/>
    <w:rsid w:val="002512C8"/>
    <w:rsid w:val="002B55CF"/>
    <w:rsid w:val="002F041A"/>
    <w:rsid w:val="002F2731"/>
    <w:rsid w:val="003547E2"/>
    <w:rsid w:val="00394132"/>
    <w:rsid w:val="003943B6"/>
    <w:rsid w:val="003A3ED1"/>
    <w:rsid w:val="00405C69"/>
    <w:rsid w:val="004153C4"/>
    <w:rsid w:val="00421310"/>
    <w:rsid w:val="0047386C"/>
    <w:rsid w:val="00474A8F"/>
    <w:rsid w:val="00485BFF"/>
    <w:rsid w:val="004A0A89"/>
    <w:rsid w:val="004C383E"/>
    <w:rsid w:val="004E0ECC"/>
    <w:rsid w:val="004E1C70"/>
    <w:rsid w:val="004E7D0A"/>
    <w:rsid w:val="00525526"/>
    <w:rsid w:val="005407E8"/>
    <w:rsid w:val="00550A2E"/>
    <w:rsid w:val="005C0DAC"/>
    <w:rsid w:val="00604499"/>
    <w:rsid w:val="0061150C"/>
    <w:rsid w:val="00653D1F"/>
    <w:rsid w:val="006A7CF6"/>
    <w:rsid w:val="006C32F3"/>
    <w:rsid w:val="006C5791"/>
    <w:rsid w:val="00702D7D"/>
    <w:rsid w:val="007056EE"/>
    <w:rsid w:val="007255E9"/>
    <w:rsid w:val="00747EDF"/>
    <w:rsid w:val="0075311D"/>
    <w:rsid w:val="0079701C"/>
    <w:rsid w:val="007C2153"/>
    <w:rsid w:val="007C33F5"/>
    <w:rsid w:val="007E190C"/>
    <w:rsid w:val="007F1484"/>
    <w:rsid w:val="007F2ED7"/>
    <w:rsid w:val="00877177"/>
    <w:rsid w:val="00885C88"/>
    <w:rsid w:val="008F7216"/>
    <w:rsid w:val="00905724"/>
    <w:rsid w:val="0094737C"/>
    <w:rsid w:val="009605E7"/>
    <w:rsid w:val="00965288"/>
    <w:rsid w:val="00994AB7"/>
    <w:rsid w:val="009B1684"/>
    <w:rsid w:val="009F23FC"/>
    <w:rsid w:val="009F2BD3"/>
    <w:rsid w:val="00A30547"/>
    <w:rsid w:val="00A37919"/>
    <w:rsid w:val="00A44A99"/>
    <w:rsid w:val="00A56374"/>
    <w:rsid w:val="00A675D2"/>
    <w:rsid w:val="00A71CD1"/>
    <w:rsid w:val="00A75127"/>
    <w:rsid w:val="00B03548"/>
    <w:rsid w:val="00B13A8C"/>
    <w:rsid w:val="00B23DD1"/>
    <w:rsid w:val="00B245F9"/>
    <w:rsid w:val="00B24A12"/>
    <w:rsid w:val="00B255FC"/>
    <w:rsid w:val="00B429EE"/>
    <w:rsid w:val="00B64B69"/>
    <w:rsid w:val="00BB24DC"/>
    <w:rsid w:val="00BC59D5"/>
    <w:rsid w:val="00BD2178"/>
    <w:rsid w:val="00C10064"/>
    <w:rsid w:val="00C12C26"/>
    <w:rsid w:val="00C5738F"/>
    <w:rsid w:val="00C62A5C"/>
    <w:rsid w:val="00C65A55"/>
    <w:rsid w:val="00C737CA"/>
    <w:rsid w:val="00CF1D64"/>
    <w:rsid w:val="00D142F3"/>
    <w:rsid w:val="00D26DDE"/>
    <w:rsid w:val="00D6311C"/>
    <w:rsid w:val="00D83830"/>
    <w:rsid w:val="00DA6FEF"/>
    <w:rsid w:val="00DC75E9"/>
    <w:rsid w:val="00E113CE"/>
    <w:rsid w:val="00E21EC8"/>
    <w:rsid w:val="00E22218"/>
    <w:rsid w:val="00E23C8F"/>
    <w:rsid w:val="00E25B53"/>
    <w:rsid w:val="00E4592A"/>
    <w:rsid w:val="00E921BB"/>
    <w:rsid w:val="00EC7F42"/>
    <w:rsid w:val="00EE2AEF"/>
    <w:rsid w:val="00EE77CA"/>
    <w:rsid w:val="00EF2BCE"/>
    <w:rsid w:val="00F054E2"/>
    <w:rsid w:val="00F22E06"/>
    <w:rsid w:val="00F62034"/>
    <w:rsid w:val="00F65D0E"/>
    <w:rsid w:val="00F73853"/>
    <w:rsid w:val="00F73AFD"/>
    <w:rsid w:val="00F916E3"/>
    <w:rsid w:val="00F933DF"/>
    <w:rsid w:val="00FD5775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B4AAF-B668-43B0-8A34-AE25EE3F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5E9"/>
    <w:pPr>
      <w:spacing w:after="0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C5738F"/>
    <w:pPr>
      <w:widowControl w:val="0"/>
      <w:adjustRightInd w:val="0"/>
      <w:spacing w:before="400" w:after="240"/>
      <w:textAlignment w:val="baseline"/>
      <w:outlineLvl w:val="0"/>
    </w:pPr>
    <w:rPr>
      <w:rFonts w:ascii="Arial Bold" w:eastAsia="Calibri" w:hAnsi="Arial Bold" w:cs="Times New Roman"/>
      <w:b/>
      <w:sz w:val="36"/>
      <w:szCs w:val="20"/>
      <w:lang w:bidi="hi-IN"/>
    </w:rPr>
  </w:style>
  <w:style w:type="paragraph" w:styleId="Heading2">
    <w:name w:val="heading 2"/>
    <w:basedOn w:val="Normal"/>
    <w:next w:val="Normal"/>
    <w:link w:val="Heading2Char"/>
    <w:autoRedefine/>
    <w:qFormat/>
    <w:rsid w:val="00C5738F"/>
    <w:pPr>
      <w:widowControl w:val="0"/>
      <w:adjustRightInd w:val="0"/>
      <w:spacing w:before="320"/>
      <w:textAlignment w:val="baseline"/>
      <w:outlineLvl w:val="1"/>
    </w:pPr>
    <w:rPr>
      <w:rFonts w:ascii="Arial Bold" w:eastAsia="Times New Roman" w:hAnsi="Arial Bold" w:cs="Times New Roman"/>
      <w:b/>
      <w:sz w:val="3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next w:val="Normal"/>
    <w:link w:val="HeaderChar"/>
    <w:unhideWhenUsed/>
    <w:rsid w:val="00075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5AD6"/>
  </w:style>
  <w:style w:type="paragraph" w:styleId="BalloonText">
    <w:name w:val="Balloon Text"/>
    <w:basedOn w:val="Normal"/>
    <w:link w:val="BalloonTextChar"/>
    <w:uiPriority w:val="99"/>
    <w:semiHidden/>
    <w:unhideWhenUsed/>
    <w:rsid w:val="00B64B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64B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B69"/>
  </w:style>
  <w:style w:type="paragraph" w:styleId="BodyText">
    <w:name w:val="Body Text"/>
    <w:basedOn w:val="Normal"/>
    <w:link w:val="BodyTextChar"/>
    <w:rsid w:val="00A71CD1"/>
    <w:pPr>
      <w:spacing w:line="240" w:lineRule="auto"/>
    </w:pPr>
    <w:rPr>
      <w:rFonts w:eastAsia="Times New Roman" w:cs="Times New Roman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A71CD1"/>
    <w:rPr>
      <w:rFonts w:ascii="Arial" w:eastAsia="Times New Roman" w:hAnsi="Arial" w:cs="Times New Roman"/>
      <w:sz w:val="32"/>
      <w:szCs w:val="20"/>
      <w:lang w:eastAsia="en-AU"/>
    </w:rPr>
  </w:style>
  <w:style w:type="paragraph" w:customStyle="1" w:styleId="HeadingBlank">
    <w:name w:val="HeadingBlank"/>
    <w:basedOn w:val="Normal"/>
    <w:link w:val="HeadingBlankChar"/>
    <w:rsid w:val="000A62A8"/>
    <w:pPr>
      <w:keepNext/>
      <w:keepLines/>
      <w:spacing w:line="240" w:lineRule="auto"/>
    </w:pPr>
    <w:rPr>
      <w:rFonts w:eastAsia="Times New Roman" w:cs="Arial"/>
      <w:sz w:val="24"/>
      <w:szCs w:val="20"/>
    </w:rPr>
  </w:style>
  <w:style w:type="character" w:customStyle="1" w:styleId="HeadingBlankChar">
    <w:name w:val="HeadingBlank Char"/>
    <w:basedOn w:val="DefaultParagraphFont"/>
    <w:link w:val="HeadingBlank"/>
    <w:rsid w:val="000A62A8"/>
    <w:rPr>
      <w:rFonts w:ascii="Arial" w:eastAsia="Times New Roman" w:hAnsi="Arial" w:cs="Arial"/>
      <w:sz w:val="24"/>
      <w:szCs w:val="20"/>
    </w:rPr>
  </w:style>
  <w:style w:type="paragraph" w:customStyle="1" w:styleId="h2">
    <w:name w:val="h2"/>
    <w:basedOn w:val="HeadingBlank"/>
    <w:link w:val="h2Char"/>
    <w:rsid w:val="000A62A8"/>
    <w:pPr>
      <w:outlineLvl w:val="1"/>
    </w:pPr>
    <w:rPr>
      <w:b/>
      <w:sz w:val="28"/>
    </w:rPr>
  </w:style>
  <w:style w:type="character" w:customStyle="1" w:styleId="h2Char">
    <w:name w:val="h2 Char"/>
    <w:basedOn w:val="HeadingBlankChar"/>
    <w:link w:val="h2"/>
    <w:rsid w:val="000A62A8"/>
    <w:rPr>
      <w:rFonts w:ascii="Arial" w:eastAsia="Times New Roman" w:hAnsi="Arial" w:cs="Arial"/>
      <w:b/>
      <w:sz w:val="28"/>
      <w:szCs w:val="20"/>
    </w:rPr>
  </w:style>
  <w:style w:type="paragraph" w:customStyle="1" w:styleId="lb1">
    <w:name w:val="lb1"/>
    <w:basedOn w:val="Normal"/>
    <w:link w:val="lb1Char"/>
    <w:rsid w:val="000A62A8"/>
    <w:pPr>
      <w:spacing w:line="240" w:lineRule="auto"/>
      <w:ind w:left="360" w:hanging="360"/>
    </w:pPr>
    <w:rPr>
      <w:rFonts w:eastAsia="Times New Roman" w:cs="Arial"/>
      <w:sz w:val="24"/>
      <w:szCs w:val="20"/>
    </w:rPr>
  </w:style>
  <w:style w:type="character" w:customStyle="1" w:styleId="lb1Char">
    <w:name w:val="lb1 Char"/>
    <w:basedOn w:val="DefaultParagraphFont"/>
    <w:link w:val="lb1"/>
    <w:rsid w:val="000A62A8"/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0A62A8"/>
    <w:pPr>
      <w:spacing w:line="240" w:lineRule="auto"/>
      <w:ind w:left="720"/>
      <w:contextualSpacing/>
    </w:pPr>
    <w:rPr>
      <w:rFonts w:eastAsia="Times New Roman" w:cs="Arial"/>
      <w:sz w:val="24"/>
      <w:szCs w:val="20"/>
    </w:rPr>
  </w:style>
  <w:style w:type="paragraph" w:customStyle="1" w:styleId="StyleBefore5ptAfter5pt">
    <w:name w:val="Style Before:  5 pt After:  5 pt"/>
    <w:basedOn w:val="Normal"/>
    <w:rsid w:val="007F2ED7"/>
    <w:pPr>
      <w:spacing w:before="100" w:after="100" w:line="240" w:lineRule="auto"/>
    </w:pPr>
    <w:rPr>
      <w:rFonts w:eastAsia="Times New Roman" w:cs="Times New Roman"/>
      <w:szCs w:val="20"/>
    </w:rPr>
  </w:style>
  <w:style w:type="paragraph" w:styleId="NoSpacing">
    <w:name w:val="No Spacing"/>
    <w:basedOn w:val="Normal"/>
    <w:uiPriority w:val="1"/>
    <w:qFormat/>
    <w:rsid w:val="00604499"/>
    <w:pPr>
      <w:spacing w:line="240" w:lineRule="auto"/>
    </w:pPr>
    <w:rPr>
      <w:rFonts w:ascii="Calibri" w:eastAsia="Calibri" w:hAnsi="Calibri" w:cs="Times New Roman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604499"/>
    <w:pPr>
      <w:spacing w:line="240" w:lineRule="auto"/>
      <w:ind w:firstLine="360"/>
    </w:pPr>
    <w:rPr>
      <w:rFonts w:ascii="Consolas" w:eastAsia="Calibri" w:hAnsi="Consolas" w:cs="Consolas"/>
      <w:sz w:val="21"/>
      <w:szCs w:val="21"/>
      <w:lang w:val="en-GB" w:bidi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4499"/>
    <w:rPr>
      <w:rFonts w:ascii="Consolas" w:eastAsia="Calibri" w:hAnsi="Consolas" w:cs="Consolas"/>
      <w:sz w:val="21"/>
      <w:szCs w:val="21"/>
      <w:lang w:val="en-GB" w:bidi="en-US"/>
    </w:rPr>
  </w:style>
  <w:style w:type="paragraph" w:styleId="Title">
    <w:name w:val="Title"/>
    <w:basedOn w:val="Normal"/>
    <w:link w:val="TitleChar"/>
    <w:qFormat/>
    <w:rsid w:val="00604499"/>
    <w:pPr>
      <w:keepNext/>
      <w:keepLines/>
      <w:spacing w:line="240" w:lineRule="auto"/>
      <w:jc w:val="center"/>
    </w:pPr>
    <w:rPr>
      <w:rFonts w:eastAsia="Times New Roman" w:cs="Arial"/>
      <w:b/>
      <w:kern w:val="28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04499"/>
    <w:rPr>
      <w:rFonts w:ascii="Arial" w:eastAsia="Times New Roman" w:hAnsi="Arial" w:cs="Arial"/>
      <w:b/>
      <w:kern w:val="28"/>
      <w:sz w:val="36"/>
      <w:szCs w:val="20"/>
    </w:rPr>
  </w:style>
  <w:style w:type="paragraph" w:customStyle="1" w:styleId="l1">
    <w:name w:val="l1"/>
    <w:basedOn w:val="HeadingBlank"/>
    <w:link w:val="l1Char"/>
    <w:rsid w:val="00604499"/>
    <w:pPr>
      <w:keepNext w:val="0"/>
      <w:keepLines w:val="0"/>
      <w:ind w:left="360" w:hanging="360"/>
    </w:pPr>
  </w:style>
  <w:style w:type="character" w:customStyle="1" w:styleId="l1Char">
    <w:name w:val="l1 Char"/>
    <w:basedOn w:val="HeadingBlankChar"/>
    <w:link w:val="l1"/>
    <w:rsid w:val="00604499"/>
    <w:rPr>
      <w:rFonts w:ascii="Arial" w:eastAsia="Times New Roman" w:hAnsi="Arial" w:cs="Arial"/>
      <w:sz w:val="24"/>
      <w:szCs w:val="20"/>
    </w:rPr>
  </w:style>
  <w:style w:type="paragraph" w:customStyle="1" w:styleId="h3">
    <w:name w:val="h3"/>
    <w:basedOn w:val="l1"/>
    <w:link w:val="h3Char"/>
    <w:rsid w:val="00604499"/>
    <w:pPr>
      <w:keepNext/>
      <w:keepLines/>
      <w:ind w:left="0" w:firstLine="0"/>
      <w:outlineLvl w:val="2"/>
    </w:pPr>
    <w:rPr>
      <w:b/>
    </w:rPr>
  </w:style>
  <w:style w:type="character" w:customStyle="1" w:styleId="h3Char">
    <w:name w:val="h3 Char"/>
    <w:basedOn w:val="l1Char"/>
    <w:link w:val="h3"/>
    <w:rsid w:val="00604499"/>
    <w:rPr>
      <w:rFonts w:ascii="Arial" w:eastAsia="Times New Roman" w:hAnsi="Arial" w:cs="Arial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113C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5738F"/>
    <w:rPr>
      <w:rFonts w:ascii="Arial Bold" w:eastAsia="Calibri" w:hAnsi="Arial Bold" w:cs="Times New Roman"/>
      <w:b/>
      <w:sz w:val="36"/>
      <w:szCs w:val="20"/>
      <w:lang w:bidi="hi-IN"/>
    </w:rPr>
  </w:style>
  <w:style w:type="character" w:customStyle="1" w:styleId="Heading2Char">
    <w:name w:val="Heading 2 Char"/>
    <w:basedOn w:val="DefaultParagraphFont"/>
    <w:link w:val="Heading2"/>
    <w:rsid w:val="00C5738F"/>
    <w:rPr>
      <w:rFonts w:ascii="Arial Bold" w:eastAsia="Times New Roman" w:hAnsi="Arial Bold" w:cs="Times New Roman"/>
      <w:b/>
      <w:sz w:val="34"/>
      <w:szCs w:val="20"/>
      <w:lang w:val="en-US"/>
    </w:rPr>
  </w:style>
  <w:style w:type="character" w:styleId="Emphasis">
    <w:name w:val="Emphasis"/>
    <w:uiPriority w:val="20"/>
    <w:qFormat/>
    <w:rsid w:val="00C5738F"/>
    <w:rPr>
      <w:rFonts w:ascii="Times New Roman" w:hAnsi="Times New Roman" w:cs="Times New Roman" w:hint="default"/>
      <w:i/>
      <w:iCs/>
    </w:rPr>
  </w:style>
  <w:style w:type="paragraph" w:customStyle="1" w:styleId="bullet1last">
    <w:name w:val="bullet 1 last"/>
    <w:basedOn w:val="Normal"/>
    <w:qFormat/>
    <w:rsid w:val="00C5738F"/>
    <w:pPr>
      <w:widowControl w:val="0"/>
      <w:numPr>
        <w:numId w:val="27"/>
      </w:numPr>
      <w:adjustRightInd w:val="0"/>
      <w:spacing w:after="40"/>
      <w:ind w:left="357" w:hanging="357"/>
    </w:pPr>
    <w:rPr>
      <w:rFonts w:eastAsia="Times New Roman" w:cs="Times New Roman"/>
      <w:szCs w:val="20"/>
      <w:lang w:val="en-GB" w:eastAsia="en-AU"/>
    </w:rPr>
  </w:style>
  <w:style w:type="paragraph" w:customStyle="1" w:styleId="BulletPoint-square">
    <w:name w:val="Bullet Point-square"/>
    <w:basedOn w:val="Normal"/>
    <w:link w:val="BulletPoint-squareChar"/>
    <w:qFormat/>
    <w:rsid w:val="00C5738F"/>
    <w:pPr>
      <w:numPr>
        <w:numId w:val="28"/>
      </w:numPr>
      <w:tabs>
        <w:tab w:val="clear" w:pos="1287"/>
        <w:tab w:val="left" w:pos="0"/>
        <w:tab w:val="left" w:pos="567"/>
        <w:tab w:val="num" w:pos="1080"/>
        <w:tab w:val="left" w:pos="1134"/>
        <w:tab w:val="left" w:pos="1418"/>
        <w:tab w:val="left" w:pos="1985"/>
        <w:tab w:val="left" w:pos="2268"/>
        <w:tab w:val="left" w:pos="2552"/>
        <w:tab w:val="left" w:pos="2835"/>
        <w:tab w:val="left" w:pos="3119"/>
      </w:tabs>
      <w:suppressAutoHyphens/>
      <w:spacing w:after="80"/>
      <w:ind w:left="1077" w:hanging="357"/>
    </w:pPr>
    <w:rPr>
      <w:rFonts w:eastAsia="Times New Roman" w:cs="Times New Roman"/>
      <w:spacing w:val="-4"/>
      <w:sz w:val="34"/>
      <w:szCs w:val="20"/>
      <w:lang w:val="en-GB" w:eastAsia="en-AU"/>
    </w:rPr>
  </w:style>
  <w:style w:type="character" w:customStyle="1" w:styleId="BulletPoint-squareChar">
    <w:name w:val="Bullet Point-square Char"/>
    <w:link w:val="BulletPoint-square"/>
    <w:rsid w:val="00C5738F"/>
    <w:rPr>
      <w:rFonts w:ascii="Arial" w:eastAsia="Times New Roman" w:hAnsi="Arial" w:cs="Times New Roman"/>
      <w:spacing w:val="-4"/>
      <w:sz w:val="3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CDD49-76A0-4A2E-99A4-799327A0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Blind Citizens NZ to Blind Low Vision NZ</vt:lpstr>
    </vt:vector>
  </TitlesOfParts>
  <Company>Microsoft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 Citizens NZ to Blind Low Vision NZ</dc:title>
  <dc:subject>Letter-Strategic Plan 2020-2024</dc:subject>
  <dc:creator>Blind Citizens NZ</dc:creator>
  <cp:lastModifiedBy>Rose Wilkinson</cp:lastModifiedBy>
  <cp:revision>5</cp:revision>
  <cp:lastPrinted>2020-02-07T03:51:00Z</cp:lastPrinted>
  <dcterms:created xsi:type="dcterms:W3CDTF">2020-02-07T03:46:00Z</dcterms:created>
  <dcterms:modified xsi:type="dcterms:W3CDTF">2021-09-22T02:33:00Z</dcterms:modified>
</cp:coreProperties>
</file>